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深化电力领域审批制度改革</w: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优化电力工程建设审批流程工作方案</w:t>
      </w:r>
    </w:p>
    <w:p>
      <w:pPr>
        <w:spacing w:line="400" w:lineRule="exact"/>
      </w:pP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为推动我市与国家电网有限公司战略合作协议落实落地，加快推进我市打造能源电力“碳达峰、碳中和”先行示范区，深化电力领域审批制度改革，持续优化电力工程建设审批流程，制定本方案。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一、实施范围</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在我市行政区域范围内建设的各级电力输配线路及配套变电站等电力基础设施工程建设项目。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二、主要措施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楷体_GB2312" w:eastAsia="楷体_GB2312"/>
          <w:sz w:val="32"/>
          <w:szCs w:val="32"/>
        </w:rPr>
        <w:t>（一）持续推动申报及审批结果电子化。</w:t>
      </w:r>
      <w:r>
        <w:rPr>
          <w:rFonts w:hint="eastAsia" w:ascii="仿宋_GB2312" w:hAnsi="仿宋_GB2312" w:eastAsia="仿宋_GB2312" w:cs="仿宋_GB2312"/>
          <w:sz w:val="32"/>
          <w:szCs w:val="32"/>
        </w:rPr>
        <w:t>电力工程项目办理用地预审与选址意见书许可、建设用地规划许可、建设工程规划许可、建设项目环境影响报告书（表）许可、水土保持方案许可、使用林地建设许可、不动产登记等事项时，均实行电子化审批，有关审批部门核发电子证照、不再核发纸质证照，电子证照信息及时归集至市电子证照库（国家统筹建设的电子证照，按国家有关要求执行），持续推动电力工程项目无纸化申报及审批结果电子化。（责任单位：市规划资源局、市水务局、市生态环境局、市政务服务办、市网信办、市大数据管理中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（二）</w:t>
      </w:r>
      <w:r>
        <w:rPr>
          <w:rFonts w:hint="eastAsia" w:ascii="楷体_GB2312" w:eastAsia="楷体_GB2312"/>
          <w:sz w:val="32"/>
          <w:szCs w:val="32"/>
        </w:rPr>
        <w:t>加强信息共享和业务协同。</w:t>
      </w:r>
      <w:r>
        <w:rPr>
          <w:rFonts w:hint="eastAsia" w:ascii="仿宋_GB2312" w:hAnsi="仿宋_GB2312" w:eastAsia="仿宋_GB2312" w:cs="仿宋_GB2312"/>
          <w:sz w:val="32"/>
          <w:szCs w:val="32"/>
        </w:rPr>
        <w:t>电力工程项目审批时需提供已批复证件的，有关审批部门应直接从电子证照库中提取，不再要求申报单位提供。对同一申请要件，申报单位只需提供一次，再次需要时应由政府部门内部流转，减轻申报单位重复提交证照材料负担。材料提供及使用坚持“一次提交、全域有效”的原则，各级政府部门间实现“信息共享、不再索要”。（责任单位：市政务服务办、市网信办、市规划资源局、市水务局、市大数据管理中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（三）</w:t>
      </w:r>
      <w:r>
        <w:rPr>
          <w:rFonts w:hint="eastAsia" w:ascii="楷体_GB2312" w:eastAsia="楷体_GB2312"/>
          <w:sz w:val="32"/>
          <w:szCs w:val="32"/>
        </w:rPr>
        <w:t>优化并联审批流程。</w:t>
      </w:r>
      <w:r>
        <w:rPr>
          <w:rFonts w:hint="eastAsia" w:ascii="仿宋_GB2312" w:hAnsi="仿宋_GB2312" w:eastAsia="仿宋_GB2312" w:cs="仿宋_GB2312"/>
          <w:sz w:val="32"/>
          <w:szCs w:val="32"/>
        </w:rPr>
        <w:t>电力工程项目办理用地预审与选址意见书、洪水影响评价许可、建设项目环境影响报告书（表）许可、水土保持方案许可等各类联合审批事项时，依电力建设单位申请可实行并联审批。（责任单位：市政务服务办、市规划资源局、市水务局、市生态环境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（四）</w:t>
      </w:r>
      <w:r>
        <w:rPr>
          <w:rFonts w:hint="eastAsia" w:ascii="楷体_GB2312" w:eastAsia="楷体_GB2312"/>
          <w:sz w:val="32"/>
          <w:szCs w:val="32"/>
        </w:rPr>
        <w:t>优化变电站工程技术经济指数指标。</w:t>
      </w:r>
      <w:r>
        <w:rPr>
          <w:rFonts w:hint="eastAsia" w:ascii="仿宋_GB2312" w:hAnsi="仿宋_GB2312" w:eastAsia="仿宋_GB2312" w:cs="仿宋_GB2312"/>
          <w:sz w:val="32"/>
          <w:szCs w:val="32"/>
        </w:rPr>
        <w:t>公用变电站站内可不设置绿地，规划资源部门在批复变电站用地预审与选址意见书、建设用地规划许可证、建设工程规划许可证等相关事项时，绿地率和绿地面积不</w:t>
      </w:r>
      <w:r>
        <w:rPr>
          <w:rFonts w:ascii="仿宋_GB2312" w:hAnsi="仿宋_GB2312" w:eastAsia="仿宋_GB2312" w:cs="仿宋_GB2312"/>
          <w:sz w:val="32"/>
          <w:szCs w:val="32"/>
        </w:rPr>
        <w:t>进行</w:t>
      </w:r>
      <w:r>
        <w:rPr>
          <w:rFonts w:hint="eastAsia" w:ascii="仿宋_GB2312" w:hAnsi="仿宋_GB2312" w:eastAsia="仿宋_GB2312" w:cs="仿宋_GB2312"/>
          <w:sz w:val="32"/>
          <w:szCs w:val="32"/>
        </w:rPr>
        <w:t>限制性要求。（责任单位：市规划资源局、市城市管理委）</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（五）优化非建设用地转用土地征收办理模式</w:t>
      </w:r>
      <w:r>
        <w:rPr>
          <w:rFonts w:hint="eastAsia" w:ascii="楷体_GB2312" w:eastAsia="楷体_GB2312"/>
          <w:sz w:val="32"/>
          <w:szCs w:val="32"/>
        </w:rPr>
        <w:t>。</w:t>
      </w:r>
      <w:r>
        <w:rPr>
          <w:rFonts w:hint="eastAsia" w:ascii="仿宋_GB2312" w:hAnsi="仿宋_GB2312" w:eastAsia="仿宋_GB2312" w:cs="仿宋_GB2312"/>
          <w:sz w:val="32"/>
          <w:szCs w:val="32"/>
        </w:rPr>
        <w:t>电力建设单位在取得核准批复和现场勘查核实确认的勘测定界成果后，即可办理征地预公告。各区人民政府组织规划资源等行业主管部门同期启动征地费用测算、土地现状调查、拟征收土地社会稳定性风险评估，并函告有关部门办理社保、保护区核查（包括林业、园林、环保、行政审批）等事宜，有关部门于</w:t>
      </w:r>
      <w:r>
        <w:rPr>
          <w:rFonts w:hint="eastAsia" w:ascii="Times New Roman" w:hAnsi="Times New Roman" w:eastAsia="仿宋_GB2312"/>
          <w:sz w:val="32"/>
          <w:szCs w:val="32"/>
        </w:rPr>
        <w:t>5</w:t>
      </w:r>
      <w:r>
        <w:rPr>
          <w:rFonts w:hint="eastAsia" w:ascii="仿宋_GB2312" w:hAnsi="仿宋_GB2312" w:eastAsia="仿宋_GB2312" w:cs="仿宋_GB2312"/>
          <w:sz w:val="32"/>
          <w:szCs w:val="32"/>
        </w:rPr>
        <w:t>个工作日内复函核实结果。（责任单位：市规划资源局）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w:t>
      </w:r>
      <w:r>
        <w:rPr>
          <w:rFonts w:hint="eastAsia" w:ascii="楷体_GB2312" w:eastAsia="楷体_GB2312"/>
          <w:sz w:val="32"/>
          <w:szCs w:val="32"/>
        </w:rPr>
        <w:t>六</w:t>
      </w:r>
      <w:r>
        <w:rPr>
          <w:rFonts w:ascii="楷体_GB2312" w:eastAsia="楷体_GB2312"/>
          <w:sz w:val="32"/>
          <w:szCs w:val="32"/>
        </w:rPr>
        <w:t>）</w:t>
      </w:r>
      <w:r>
        <w:rPr>
          <w:rFonts w:hint="eastAsia" w:ascii="楷体_GB2312" w:eastAsia="楷体_GB2312"/>
          <w:sz w:val="32"/>
          <w:szCs w:val="32"/>
        </w:rPr>
        <w:t>明确变电站划拨土地费用标准。</w:t>
      </w:r>
      <w:r>
        <w:rPr>
          <w:rFonts w:hint="eastAsia" w:ascii="仿宋_GB2312" w:hAnsi="仿宋_GB2312" w:eastAsia="仿宋_GB2312" w:cs="仿宋_GB2312"/>
          <w:sz w:val="32"/>
          <w:szCs w:val="32"/>
        </w:rPr>
        <w:t>公用变电站占用储备土地的，划拨土地价款按每亩人民币</w:t>
      </w:r>
      <w:r>
        <w:rPr>
          <w:rFonts w:ascii="Times New Roman" w:hAnsi="Times New Roman" w:eastAsia="楷体_GB2312"/>
          <w:sz w:val="32"/>
          <w:szCs w:val="32"/>
        </w:rPr>
        <w:t>50</w:t>
      </w:r>
      <w:r>
        <w:rPr>
          <w:rFonts w:hint="eastAsia" w:ascii="仿宋_GB2312" w:hAnsi="仿宋_GB2312" w:eastAsia="仿宋_GB2312" w:cs="仿宋_GB2312"/>
          <w:sz w:val="32"/>
          <w:szCs w:val="32"/>
        </w:rPr>
        <w:t>万元标准执行，有关部门直接按照该标准认定划拨价款并签订补偿协议，进一步加快用地手续办理。公用变电站占用农用地的，完成土地征转手续后应加快办理划拨。（责任单位：市财政局、市规划资源局）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w:t>
      </w:r>
      <w:r>
        <w:rPr>
          <w:rFonts w:hint="eastAsia" w:ascii="楷体_GB2312" w:eastAsia="楷体_GB2312"/>
          <w:sz w:val="32"/>
          <w:szCs w:val="32"/>
        </w:rPr>
        <w:t>七</w:t>
      </w:r>
      <w:r>
        <w:rPr>
          <w:rFonts w:ascii="楷体_GB2312" w:eastAsia="楷体_GB2312"/>
          <w:sz w:val="32"/>
          <w:szCs w:val="32"/>
        </w:rPr>
        <w:t>）</w:t>
      </w:r>
      <w:r>
        <w:rPr>
          <w:rFonts w:hint="eastAsia" w:ascii="楷体_GB2312" w:eastAsia="楷体_GB2312"/>
          <w:sz w:val="32"/>
          <w:szCs w:val="32"/>
        </w:rPr>
        <w:t>简化优化用地审批手续。</w:t>
      </w:r>
      <w:r>
        <w:rPr>
          <w:rFonts w:hint="eastAsia" w:ascii="仿宋_GB2312" w:hAnsi="仿宋_GB2312" w:eastAsia="仿宋_GB2312" w:cs="仿宋_GB2312"/>
          <w:sz w:val="32"/>
          <w:szCs w:val="32"/>
        </w:rPr>
        <w:t>电力工程项目需符合划拨用地目录及相关规定，在取得项目用地预审与选址意见书、划拨宗地平面界限图等文件后即可申报建设用地规划许可证及国有土地划拨决定书。除用地原为有色金属冶炼、</w:t>
      </w:r>
      <w:r>
        <w:rPr>
          <w:rFonts w:hint="default" w:ascii="仿宋_GB2312" w:hAnsi="仿宋_GB2312" w:eastAsia="仿宋_GB2312" w:cs="仿宋_GB2312"/>
          <w:sz w:val="32"/>
          <w:szCs w:val="32"/>
        </w:rPr>
        <w:t>石油</w:t>
      </w:r>
      <w:r>
        <w:rPr>
          <w:rFonts w:hint="eastAsia" w:ascii="仿宋_GB2312" w:hAnsi="仿宋_GB2312" w:eastAsia="仿宋_GB2312" w:cs="仿宋_GB2312"/>
          <w:sz w:val="32"/>
          <w:szCs w:val="32"/>
        </w:rPr>
        <w:t>加工、化工、焦化、电镀、制革等行业企业用地或污水、垃圾、危险废物等各类污染集中处理处置设施用地以外的项目，土壤污染状况调查报告、土壤污染风险评估报告、专家评审意见以及生态环境部门会同规划资源部门出具的评审意见不再作为前置条件。（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w:t>
      </w:r>
      <w:r>
        <w:rPr>
          <w:rFonts w:hint="eastAsia" w:ascii="楷体_GB2312" w:eastAsia="楷体_GB2312"/>
          <w:sz w:val="32"/>
          <w:szCs w:val="32"/>
        </w:rPr>
        <w:t>八</w:t>
      </w:r>
      <w:r>
        <w:rPr>
          <w:rFonts w:ascii="楷体_GB2312" w:eastAsia="楷体_GB2312"/>
          <w:sz w:val="32"/>
          <w:szCs w:val="32"/>
        </w:rPr>
        <w:t>）</w:t>
      </w:r>
      <w:r>
        <w:rPr>
          <w:rFonts w:hint="eastAsia" w:ascii="楷体_GB2312" w:eastAsia="楷体_GB2312"/>
          <w:sz w:val="32"/>
          <w:szCs w:val="32"/>
        </w:rPr>
        <w:t>简化电网工程临时用地手续。</w:t>
      </w:r>
      <w:r>
        <w:rPr>
          <w:rFonts w:hint="eastAsia" w:ascii="仿宋_GB2312" w:hAnsi="仿宋_GB2312" w:eastAsia="仿宋_GB2312" w:cs="仿宋_GB2312"/>
          <w:sz w:val="32"/>
          <w:szCs w:val="32"/>
        </w:rPr>
        <w:t>电力工程项目涉及办理临时用地手续的，电力建设单位可以</w:t>
      </w:r>
      <w:r>
        <w:rPr>
          <w:rFonts w:ascii="仿宋_GB2312" w:hAnsi="仿宋_GB2312" w:eastAsia="仿宋_GB2312" w:cs="仿宋_GB2312"/>
          <w:sz w:val="32"/>
          <w:szCs w:val="32"/>
        </w:rPr>
        <w:t>以</w:t>
      </w:r>
      <w:r>
        <w:rPr>
          <w:rFonts w:hint="eastAsia" w:ascii="仿宋_GB2312" w:hAnsi="仿宋_GB2312" w:eastAsia="仿宋_GB2312" w:cs="仿宋_GB2312"/>
          <w:sz w:val="32"/>
          <w:szCs w:val="32"/>
        </w:rPr>
        <w:t>国网天津市电力公司名义办理临时用地复垦费用使用监管协议的签订及土地复垦费用预存凭证。（责任单位：市规划资源局）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w:t>
      </w:r>
      <w:r>
        <w:rPr>
          <w:rFonts w:hint="eastAsia" w:ascii="楷体_GB2312" w:eastAsia="楷体_GB2312"/>
          <w:sz w:val="32"/>
          <w:szCs w:val="32"/>
        </w:rPr>
        <w:t>九</w:t>
      </w:r>
      <w:r>
        <w:rPr>
          <w:rFonts w:ascii="楷体_GB2312" w:eastAsia="楷体_GB2312"/>
          <w:sz w:val="32"/>
          <w:szCs w:val="32"/>
        </w:rPr>
        <w:t>）</w:t>
      </w:r>
      <w:r>
        <w:rPr>
          <w:rFonts w:hint="eastAsia" w:ascii="楷体_GB2312" w:eastAsia="楷体_GB2312"/>
          <w:sz w:val="32"/>
          <w:szCs w:val="32"/>
        </w:rPr>
        <w:t>电力线路工程按原地类管理。</w:t>
      </w:r>
      <w:r>
        <w:rPr>
          <w:rFonts w:hint="eastAsia" w:ascii="仿宋_GB2312" w:hAnsi="仿宋_GB2312" w:eastAsia="仿宋_GB2312" w:cs="仿宋_GB2312"/>
          <w:sz w:val="32"/>
          <w:szCs w:val="32"/>
        </w:rPr>
        <w:t>建设架空电力线路走廊的杆、塔基础，对于不超出《第三次全国国土调查技术规程》规定的最小建设用地上图图斑面积的，按原地类管理，杆、塔基础占用的土地，电力建设单位应当对土地的所有权人和使用权人给予一次性经济补偿；涉及占地林地的按有关规定执行。（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w:t>
      </w:r>
      <w:r>
        <w:rPr>
          <w:rFonts w:hint="eastAsia" w:ascii="楷体_GB2312" w:eastAsia="楷体_GB2312"/>
          <w:sz w:val="32"/>
          <w:szCs w:val="32"/>
        </w:rPr>
        <w:t>优化蓄滞洪区内线路审批。</w:t>
      </w:r>
      <w:r>
        <w:rPr>
          <w:rFonts w:hint="eastAsia" w:ascii="仿宋_GB2312" w:hAnsi="仿宋_GB2312" w:eastAsia="仿宋_GB2312" w:cs="仿宋_GB2312"/>
          <w:sz w:val="32"/>
          <w:szCs w:val="32"/>
        </w:rPr>
        <w:t>规划在蓄滞洪区分洪口门影响范围内、经洪水影响评价或专家论证对行洪无重大影响的电力线路工程，电力建设单位应与水务部门沟通协商，符合水务部门建设要求的应给予支持。（责任单位：市水务局）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w:t>
      </w:r>
      <w:r>
        <w:rPr>
          <w:rFonts w:hint="eastAsia" w:ascii="楷体_GB2312" w:eastAsia="楷体_GB2312"/>
          <w:sz w:val="32"/>
          <w:szCs w:val="32"/>
        </w:rPr>
        <w:t>一</w:t>
      </w:r>
      <w:r>
        <w:rPr>
          <w:rFonts w:ascii="楷体_GB2312" w:eastAsia="楷体_GB2312"/>
          <w:sz w:val="32"/>
          <w:szCs w:val="32"/>
        </w:rPr>
        <w:t>）</w:t>
      </w:r>
      <w:r>
        <w:rPr>
          <w:rFonts w:hint="eastAsia" w:ascii="楷体_GB2312" w:eastAsia="楷体_GB2312"/>
          <w:sz w:val="32"/>
          <w:szCs w:val="32"/>
        </w:rPr>
        <w:t>优化电力线路防洪影响评估工作。</w:t>
      </w:r>
      <w:r>
        <w:rPr>
          <w:rFonts w:hint="eastAsia" w:ascii="仿宋_GB2312" w:hAnsi="仿宋_GB2312" w:eastAsia="仿宋_GB2312" w:cs="仿宋_GB2312"/>
          <w:sz w:val="32"/>
          <w:szCs w:val="32"/>
        </w:rPr>
        <w:t>新建线路工程涉及占用水利设施向水务部门缴纳的费用，经双方协商可参照以往线路工程跨越该条河流开展占用水利设施论证时确定的金额缴费。（责任单位：市水务局）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（十二）优化新能源并网及其配套工程审批</w:t>
      </w:r>
      <w:r>
        <w:rPr>
          <w:rFonts w:hint="eastAsia" w:ascii="楷体_GB2312" w:eastAsia="楷体_GB2312"/>
          <w:sz w:val="32"/>
          <w:szCs w:val="32"/>
        </w:rPr>
        <w:t>。</w:t>
      </w:r>
      <w:r>
        <w:rPr>
          <w:rFonts w:hint="eastAsia" w:ascii="仿宋_GB2312" w:hAnsi="仿宋_GB2312" w:eastAsia="仿宋_GB2312" w:cs="仿宋_GB2312"/>
          <w:sz w:val="32"/>
          <w:szCs w:val="32"/>
        </w:rPr>
        <w:t>天津电力“碳达峰、碳中和”先行示范区建设任务重点工程以及新能源项目并网电力配套工程，在线路穿越天津市永久性生态保护区域开展生态论证时，架空电力线路走廊（包括杆、塔基础）和地下电缆通道免于办理生态占补平衡。</w:t>
      </w:r>
      <w:r>
        <w:rPr>
          <w:rFonts w:hint="default" w:ascii="仿宋_GB2312" w:hAnsi="仿宋_GB2312" w:eastAsia="仿宋_GB2312" w:cs="仿宋_GB2312"/>
          <w:sz w:val="32"/>
          <w:szCs w:val="32"/>
        </w:rPr>
        <w:t>生态论证审查意见</w:t>
      </w:r>
      <w:r>
        <w:rPr>
          <w:rFonts w:hint="eastAsia" w:ascii="仿宋_GB2312" w:hAnsi="仿宋_GB2312" w:eastAsia="仿宋_GB2312" w:cs="仿宋_GB2312"/>
          <w:sz w:val="32"/>
          <w:szCs w:val="32"/>
        </w:rPr>
        <w:t>由规划资源部门和生态环境部门</w:t>
      </w:r>
      <w:r>
        <w:rPr>
          <w:rFonts w:hint="default" w:ascii="仿宋_GB2312" w:hAnsi="仿宋_GB2312" w:eastAsia="仿宋_GB2312" w:cs="仿宋_GB2312"/>
          <w:sz w:val="32"/>
          <w:szCs w:val="32"/>
        </w:rPr>
        <w:t>联合上报市政府</w:t>
      </w:r>
      <w:r>
        <w:rPr>
          <w:rFonts w:hint="eastAsia" w:ascii="仿宋_GB2312" w:hAnsi="仿宋_GB2312" w:eastAsia="仿宋_GB2312" w:cs="仿宋_GB2312"/>
          <w:sz w:val="32"/>
          <w:szCs w:val="32"/>
        </w:rPr>
        <w:t>。（责任单位：市规划资源局、市生态环境局）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w:t>
      </w:r>
      <w:r>
        <w:rPr>
          <w:rFonts w:hint="eastAsia" w:ascii="楷体_GB2312" w:eastAsia="楷体_GB2312"/>
          <w:sz w:val="32"/>
          <w:szCs w:val="32"/>
        </w:rPr>
        <w:t>三</w:t>
      </w:r>
      <w:r>
        <w:rPr>
          <w:rFonts w:ascii="楷体_GB2312" w:eastAsia="楷体_GB2312"/>
          <w:sz w:val="32"/>
          <w:szCs w:val="32"/>
        </w:rPr>
        <w:t>）</w:t>
      </w:r>
      <w:r>
        <w:rPr>
          <w:rFonts w:hint="eastAsia" w:ascii="楷体_GB2312" w:eastAsia="楷体_GB2312"/>
          <w:sz w:val="32"/>
          <w:szCs w:val="32"/>
        </w:rPr>
        <w:t>优化生态保护红线论证审查。</w:t>
      </w:r>
      <w:r>
        <w:rPr>
          <w:rFonts w:hint="eastAsia" w:ascii="仿宋_GB2312" w:hAnsi="仿宋_GB2312" w:eastAsia="仿宋_GB2312" w:cs="仿宋_GB2312"/>
          <w:sz w:val="32"/>
          <w:szCs w:val="32"/>
        </w:rPr>
        <w:t>电力线路工程仅涉及架空线路穿越（无塔基占用）天津市生态保护红线时，不属于建设工程占用生态保护红线，</w:t>
      </w:r>
      <w:r>
        <w:rPr>
          <w:rFonts w:hint="default" w:ascii="仿宋_GB2312" w:hAnsi="仿宋_GB2312" w:eastAsia="仿宋_GB2312" w:cs="仿宋_GB2312"/>
          <w:sz w:val="32"/>
          <w:szCs w:val="32"/>
        </w:rPr>
        <w:t>无需开展不可避让论证审查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涉及自然保护地的，按照国家有关自然保护地管理规定执行。</w:t>
      </w:r>
      <w:r>
        <w:rPr>
          <w:rFonts w:hint="eastAsia" w:ascii="仿宋_GB2312" w:hAnsi="仿宋_GB2312" w:eastAsia="仿宋_GB2312" w:cs="仿宋_GB2312"/>
          <w:sz w:val="32"/>
          <w:szCs w:val="32"/>
        </w:rPr>
        <w:t>（责任单位：市规划资源局）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楷体_GB2312" w:eastAsia="楷体_GB2312"/>
          <w:sz w:val="32"/>
          <w:szCs w:val="32"/>
        </w:rPr>
      </w:pPr>
      <w:r>
        <w:rPr>
          <w:rFonts w:ascii="楷体_GB2312" w:eastAsia="楷体_GB2312"/>
          <w:sz w:val="32"/>
          <w:szCs w:val="32"/>
        </w:rPr>
        <w:t>（十</w:t>
      </w:r>
      <w:r>
        <w:rPr>
          <w:rFonts w:hint="default" w:ascii="楷体_GB2312" w:eastAsia="楷体_GB2312"/>
          <w:sz w:val="32"/>
          <w:szCs w:val="32"/>
        </w:rPr>
        <w:t>四</w:t>
      </w:r>
      <w:r>
        <w:rPr>
          <w:rFonts w:ascii="楷体_GB2312" w:eastAsia="楷体_GB2312"/>
          <w:sz w:val="32"/>
          <w:szCs w:val="32"/>
        </w:rPr>
        <w:t>）</w:t>
      </w:r>
      <w:r>
        <w:rPr>
          <w:rFonts w:hint="default" w:ascii="楷体_GB2312" w:eastAsia="楷体_GB2312"/>
          <w:sz w:val="32"/>
          <w:szCs w:val="32"/>
        </w:rPr>
        <w:t>简化不可避让论证报告编制</w:t>
      </w:r>
      <w:r>
        <w:rPr>
          <w:rFonts w:hint="eastAsia" w:ascii="楷体_GB2312" w:eastAsia="楷体_GB2312"/>
          <w:sz w:val="32"/>
          <w:szCs w:val="32"/>
        </w:rPr>
        <w:t>。</w:t>
      </w:r>
      <w:r>
        <w:rPr>
          <w:rFonts w:hint="eastAsia" w:ascii="仿宋_GB2312" w:hAnsi="仿宋_GB2312" w:eastAsia="仿宋_GB2312" w:cs="仿宋_GB2312"/>
          <w:sz w:val="32"/>
          <w:szCs w:val="32"/>
        </w:rPr>
        <w:t>电力线路工程仅涉及架空线路穿越（无塔基占用）天津市生态保护红线时，不属于建设工程占用生态保护红线，电力建设单位</w:t>
      </w:r>
      <w:r>
        <w:rPr>
          <w:rFonts w:hint="default" w:ascii="仿宋_GB2312" w:hAnsi="仿宋_GB2312" w:eastAsia="仿宋_GB2312" w:cs="仿宋_GB2312"/>
          <w:sz w:val="32"/>
          <w:szCs w:val="32"/>
        </w:rPr>
        <w:t>按照相关标准规范</w:t>
      </w:r>
      <w:r>
        <w:rPr>
          <w:rFonts w:hint="eastAsia" w:ascii="仿宋_GB2312" w:hAnsi="仿宋_GB2312" w:eastAsia="仿宋_GB2312" w:cs="仿宋_GB2312"/>
          <w:sz w:val="32"/>
          <w:szCs w:val="32"/>
        </w:rPr>
        <w:t>自行组织编制不可避让论证报告。（责任单位：</w:t>
      </w:r>
      <w:r>
        <w:rPr>
          <w:rFonts w:hint="default" w:ascii="仿宋_GB2312" w:hAnsi="仿宋_GB2312" w:eastAsia="仿宋_GB2312" w:cs="仿宋_GB2312"/>
          <w:sz w:val="32"/>
          <w:szCs w:val="32"/>
        </w:rPr>
        <w:t>国网天津市电力公司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（十五）</w:t>
      </w:r>
      <w:r>
        <w:rPr>
          <w:rFonts w:hint="eastAsia" w:ascii="楷体_GB2312" w:eastAsia="楷体_GB2312"/>
          <w:sz w:val="32"/>
          <w:szCs w:val="32"/>
        </w:rPr>
        <w:t>明确我市电力工程档案归档和移交范围。</w:t>
      </w:r>
      <w:r>
        <w:rPr>
          <w:rFonts w:hint="eastAsia" w:ascii="仿宋_GB2312" w:hAnsi="仿宋_GB2312" w:eastAsia="仿宋_GB2312" w:cs="仿宋_GB2312"/>
          <w:sz w:val="32"/>
          <w:szCs w:val="32"/>
        </w:rPr>
        <w:t>公用变电站工程、电力线路工程应按归档目录</w:t>
      </w:r>
      <w:r>
        <w:rPr>
          <w:rFonts w:ascii="Times New Roman" w:hAnsi="Times New Roman" w:eastAsia="仿宋_GB2312"/>
          <w:sz w:val="32"/>
          <w:szCs w:val="32"/>
        </w:rPr>
        <w:t>进行整理并向市城建档案馆移交，其中建筑面积小于300</w:t>
      </w:r>
      <w:r>
        <w:rPr>
          <w:rFonts w:hint="eastAsia" w:ascii="仿宋_GB2312" w:hAnsi="仿宋_GB2312" w:eastAsia="仿宋_GB2312" w:cs="仿宋_GB2312"/>
          <w:sz w:val="32"/>
          <w:szCs w:val="32"/>
        </w:rPr>
        <w:t>平方米或免于办理施工许可的变电站工程、电力线路工程，应由国网天津电力档案馆归档保管。（责任单位：国网天津</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电力</w:t>
      </w:r>
      <w:r>
        <w:rPr>
          <w:rFonts w:ascii="仿宋_GB2312" w:hAnsi="仿宋_GB2312" w:eastAsia="仿宋_GB2312" w:cs="仿宋_GB2312"/>
          <w:sz w:val="32"/>
          <w:szCs w:val="32"/>
        </w:rPr>
        <w:t>公司</w:t>
      </w:r>
      <w:r>
        <w:rPr>
          <w:rFonts w:hint="eastAsia" w:ascii="仿宋_GB2312" w:hAnsi="仿宋_GB2312" w:eastAsia="仿宋_GB2312" w:cs="仿宋_GB2312"/>
          <w:sz w:val="32"/>
          <w:szCs w:val="32"/>
        </w:rPr>
        <w:t>、市规划资源局）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（十六）</w:t>
      </w:r>
      <w:r>
        <w:rPr>
          <w:rFonts w:hint="eastAsia" w:ascii="楷体_GB2312" w:eastAsia="楷体_GB2312"/>
          <w:sz w:val="32"/>
          <w:szCs w:val="32"/>
        </w:rPr>
        <w:t>优化占路、占绿、用水报装手续。</w:t>
      </w:r>
      <w:r>
        <w:rPr>
          <w:rFonts w:hint="eastAsia" w:ascii="仿宋_GB2312" w:hAnsi="仿宋_GB2312" w:eastAsia="仿宋_GB2312" w:cs="仿宋_GB2312"/>
          <w:sz w:val="32"/>
          <w:szCs w:val="32"/>
        </w:rPr>
        <w:t>电力工程项目取得核准批复后，电力建设单位即可申请办理临时占路、导行、临时占绿、用水、排水手续，建设工程规划许可证及附图不再作为申报的前提条件，可凭项目核准批复、工程用地预审与选址意见书作为申报要件。（责任单位：市公用事业局、市城市管理委、市水务局、市公安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color w:val="FF0000"/>
          <w:sz w:val="32"/>
          <w:szCs w:val="32"/>
        </w:rPr>
      </w:pPr>
      <w:r>
        <w:rPr>
          <w:rFonts w:ascii="楷体_GB2312" w:eastAsia="楷体_GB2312"/>
          <w:sz w:val="32"/>
          <w:szCs w:val="32"/>
        </w:rPr>
        <w:t>（十七）</w:t>
      </w:r>
      <w:r>
        <w:rPr>
          <w:rFonts w:hint="eastAsia" w:ascii="楷体_GB2312" w:eastAsia="楷体_GB2312"/>
          <w:sz w:val="32"/>
          <w:szCs w:val="32"/>
        </w:rPr>
        <w:t>优化电力工程占绿涉绿手续审批。</w:t>
      </w:r>
      <w:r>
        <w:rPr>
          <w:rFonts w:hint="eastAsia" w:ascii="仿宋_GB2312" w:hAnsi="仿宋_GB2312" w:eastAsia="仿宋_GB2312" w:cs="仿宋_GB2312"/>
          <w:sz w:val="32"/>
          <w:szCs w:val="32"/>
        </w:rPr>
        <w:t>明确电力工程项目涉绿相关工程费用，电力工程项目在占用城市绿地时，要提前与产权单位沟通，优化占绿方案，最大限度保护现有城市树木，经产权单位同意并与其签订赔偿协议后方可施工。</w:t>
      </w:r>
      <w:r>
        <w:rPr>
          <w:rFonts w:hint="eastAsia" w:ascii="仿宋_GB2312" w:hAnsi="仿宋_GB2312" w:eastAsia="仿宋_GB2312" w:cs="仿宋_GB2312"/>
          <w:sz w:val="32"/>
          <w:szCs w:val="32"/>
          <w:shd w:val="clear" w:color="auto" w:fill="FFFFFF"/>
        </w:rPr>
        <w:t>路径长度不大于</w:t>
      </w:r>
      <w:r>
        <w:rPr>
          <w:rFonts w:ascii="Times New Roman" w:hAnsi="Times New Roman" w:eastAsia="仿宋_GB2312"/>
          <w:sz w:val="32"/>
          <w:szCs w:val="32"/>
          <w:shd w:val="clear" w:color="auto" w:fill="FFFFFF"/>
        </w:rPr>
        <w:t>200米的110千</w:t>
      </w:r>
      <w:r>
        <w:rPr>
          <w:rFonts w:hint="eastAsia" w:ascii="仿宋_GB2312" w:hAnsi="仿宋_GB2312" w:eastAsia="仿宋_GB2312" w:cs="仿宋_GB2312"/>
          <w:sz w:val="32"/>
          <w:szCs w:val="32"/>
          <w:shd w:val="clear" w:color="auto" w:fill="FFFFFF"/>
        </w:rPr>
        <w:t>伏及以上电力线路工程临时占用城市绿化用地的，依据规划资源部门审批的行政许可手续核定占用绿地位置并与产权单位签订赔偿协议后即可施工，不再办理相关审批手续，涉及树木迁移的，应当事先告知城市管理主管部门，并报送符合有关标准规范的城市树木迁移方案。实现电源送出功能的环网箱、控制箱、杆塔等电力设施永久占用绿化用地的，依据规划资源部门审批的行政许可手续核定占用绿地位置并与产权单位签订赔偿协议后即可施工，涉及树木迁移的，应当事先告知城市管理主管部门，并报送符合有关标准规范的城市树木迁移方案。</w:t>
      </w:r>
      <w:r>
        <w:rPr>
          <w:rFonts w:hint="eastAsia" w:ascii="仿宋_GB2312" w:hAnsi="仿宋_GB2312" w:eastAsia="仿宋_GB2312" w:cs="仿宋_GB2312"/>
          <w:sz w:val="32"/>
          <w:szCs w:val="32"/>
        </w:rPr>
        <w:t>（责任单位：市城市管理委）</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highlight w:val="cyan"/>
        </w:rPr>
      </w:pPr>
      <w:r>
        <w:rPr>
          <w:rFonts w:ascii="楷体_GB2312" w:eastAsia="楷体_GB2312"/>
          <w:sz w:val="32"/>
          <w:szCs w:val="32"/>
        </w:rPr>
        <w:t>（十八）</w:t>
      </w:r>
      <w:r>
        <w:rPr>
          <w:rFonts w:hint="eastAsia" w:ascii="楷体_GB2312" w:eastAsia="楷体_GB2312"/>
          <w:sz w:val="32"/>
          <w:szCs w:val="32"/>
        </w:rPr>
        <w:t>优化变电站工程人防、门楼牌号办理。</w:t>
      </w:r>
      <w:r>
        <w:rPr>
          <w:rFonts w:hint="eastAsia" w:ascii="仿宋_GB2312" w:hAnsi="仿宋_GB2312" w:eastAsia="仿宋_GB2312" w:cs="仿宋_GB2312"/>
          <w:sz w:val="32"/>
          <w:szCs w:val="32"/>
        </w:rPr>
        <w:t>公用变电站工程取消人防手续;优化变电站门楼牌号手续办理，强化电力能源设施保密工作，主管部门直接按照已批复变电站建设工程规划许可证的“建设位置”对变电站进行门楼牌号命名。（责任单位：市人防办、市公安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w:t>
      </w:r>
      <w:r>
        <w:rPr>
          <w:rFonts w:hint="eastAsia" w:ascii="楷体_GB2312" w:eastAsia="楷体_GB2312"/>
          <w:sz w:val="32"/>
          <w:szCs w:val="32"/>
        </w:rPr>
        <w:t>十</w:t>
      </w:r>
      <w:r>
        <w:rPr>
          <w:rFonts w:hint="default" w:ascii="楷体_GB2312" w:eastAsia="楷体_GB2312"/>
          <w:sz w:val="32"/>
          <w:szCs w:val="32"/>
        </w:rPr>
        <w:t>九</w:t>
      </w:r>
      <w:r>
        <w:rPr>
          <w:rFonts w:ascii="楷体_GB2312" w:eastAsia="楷体_GB2312"/>
          <w:sz w:val="32"/>
          <w:szCs w:val="32"/>
        </w:rPr>
        <w:t>）</w:t>
      </w:r>
      <w:r>
        <w:rPr>
          <w:rFonts w:hint="eastAsia" w:ascii="楷体_GB2312" w:eastAsia="楷体_GB2312"/>
          <w:sz w:val="32"/>
          <w:szCs w:val="32"/>
        </w:rPr>
        <w:t>明确变电站工程验收方式。</w:t>
      </w:r>
      <w:r>
        <w:rPr>
          <w:rFonts w:hint="eastAsia" w:ascii="仿宋_GB2312" w:hAnsi="仿宋_GB2312" w:eastAsia="仿宋_GB2312" w:cs="仿宋_GB2312"/>
          <w:sz w:val="32"/>
          <w:szCs w:val="32"/>
        </w:rPr>
        <w:t>按要求不办理建筑工程施工许可的公用变电站工程规划验收、消防验收实行单独验收，电力建设单位应在政务服务大厅综合联审窗口进行报审，系统解绑后推送至相应主管部门开展单独验收；具备条件的工程规划验收、消防验收可并联报审。（责任单位：市住房城乡建设委、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eastAsia="楷体_GB2312"/>
          <w:sz w:val="32"/>
          <w:szCs w:val="32"/>
        </w:rPr>
        <w:t>（二</w:t>
      </w:r>
      <w:r>
        <w:rPr>
          <w:rFonts w:hint="eastAsia" w:ascii="楷体_GB2312" w:eastAsia="楷体_GB2312"/>
          <w:sz w:val="32"/>
          <w:szCs w:val="32"/>
        </w:rPr>
        <w:t>十</w:t>
      </w:r>
      <w:r>
        <w:rPr>
          <w:rFonts w:ascii="楷体_GB2312" w:eastAsia="楷体_GB2312"/>
          <w:sz w:val="32"/>
          <w:szCs w:val="32"/>
        </w:rPr>
        <w:t>）</w:t>
      </w:r>
      <w:r>
        <w:rPr>
          <w:rFonts w:hint="eastAsia" w:ascii="楷体_GB2312" w:eastAsia="楷体_GB2312"/>
          <w:sz w:val="32"/>
          <w:szCs w:val="32"/>
        </w:rPr>
        <w:t>优化变电站工程不动产登记时序和要件。</w:t>
      </w:r>
      <w:r>
        <w:rPr>
          <w:rFonts w:hint="eastAsia" w:ascii="仿宋_GB2312" w:hAnsi="仿宋_GB2312" w:eastAsia="仿宋_GB2312" w:cs="仿宋_GB2312"/>
          <w:sz w:val="32"/>
          <w:szCs w:val="32"/>
        </w:rPr>
        <w:t>变电站工程竣工后即可申请办理房屋不动产登记，电力建设单位凭申请书、委托书、申请人身份证明、房产测绘报告、土地证、电力建设单位出具的工程竣工验收报告、建设工程规划许可证及规划验收合格证、标准地名文件等办理不动产登记手续。（责任单位：市规划资源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楷体_GB2312" w:eastAsia="楷体_GB2312"/>
          <w:sz w:val="32"/>
          <w:szCs w:val="32"/>
        </w:rPr>
        <w:t>（二十</w:t>
      </w:r>
      <w:r>
        <w:rPr>
          <w:rFonts w:hint="default" w:ascii="楷体_GB2312" w:eastAsia="楷体_GB2312"/>
          <w:sz w:val="32"/>
          <w:szCs w:val="32"/>
        </w:rPr>
        <w:t>一</w:t>
      </w:r>
      <w:r>
        <w:rPr>
          <w:rFonts w:hint="eastAsia" w:ascii="楷体_GB2312" w:eastAsia="楷体_GB2312"/>
          <w:sz w:val="32"/>
          <w:szCs w:val="32"/>
        </w:rPr>
        <w:t>）强化电力工程建设审批问题协调。</w:t>
      </w:r>
      <w:r>
        <w:rPr>
          <w:rFonts w:hint="eastAsia" w:ascii="仿宋_GB2312" w:hAnsi="仿宋_GB2312" w:eastAsia="仿宋_GB2312" w:cs="仿宋_GB2312"/>
          <w:sz w:val="32"/>
          <w:szCs w:val="32"/>
        </w:rPr>
        <w:t>形成协调推动机制和合力，对电力工程建设审批过程中出现的各类问题，及时召开专题会议，研究推动问题解决，加快电力工程项目落地实施。（责任单位：市政务服务办、国网天津市电力公司）</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楷体_GB2312" w:eastAsia="楷体_GB2312"/>
          <w:sz w:val="32"/>
          <w:szCs w:val="32"/>
        </w:rPr>
        <w:t>（二十</w:t>
      </w:r>
      <w:r>
        <w:rPr>
          <w:rFonts w:hint="default" w:ascii="楷体_GB2312" w:eastAsia="楷体_GB2312"/>
          <w:sz w:val="32"/>
          <w:szCs w:val="32"/>
        </w:rPr>
        <w:t>二</w:t>
      </w:r>
      <w:r>
        <w:rPr>
          <w:rFonts w:hint="eastAsia" w:ascii="楷体_GB2312" w:eastAsia="楷体_GB2312"/>
          <w:sz w:val="32"/>
          <w:szCs w:val="32"/>
        </w:rPr>
        <w:t>）深化电力工程建设审批政策指导。</w:t>
      </w:r>
      <w:r>
        <w:rPr>
          <w:rFonts w:hint="eastAsia" w:ascii="仿宋_GB2312" w:hAnsi="仿宋_GB2312" w:eastAsia="仿宋_GB2312" w:cs="仿宋_GB2312"/>
          <w:sz w:val="32"/>
          <w:szCs w:val="32"/>
        </w:rPr>
        <w:t>加强对上位法规政策的宣传服务，通过现场服务、业务培训、政策解读等多种方式，进一步加强对电力建设单位相关政策的业务指导。（责任单位：市政务服务办等市级有关部门）</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三、工作要求</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ascii="楷体_GB2312" w:hAnsi="楷体_GB2312" w:eastAsia="楷体_GB2312" w:cs="楷体_GB2312"/>
          <w:sz w:val="32"/>
          <w:szCs w:val="32"/>
        </w:rPr>
        <w:t>（一）</w:t>
      </w:r>
      <w:r>
        <w:rPr>
          <w:rFonts w:hint="eastAsia" w:ascii="楷体_GB2312" w:hAnsi="楷体_GB2312" w:eastAsia="楷体_GB2312" w:cs="楷体_GB2312"/>
          <w:sz w:val="32"/>
          <w:szCs w:val="32"/>
        </w:rPr>
        <w:t>推动政策深化落实。</w:t>
      </w:r>
      <w:r>
        <w:rPr>
          <w:rFonts w:hint="eastAsia" w:ascii="仿宋_GB2312" w:hAnsi="仿宋_GB2312" w:eastAsia="仿宋_GB2312" w:cs="仿宋_GB2312"/>
          <w:sz w:val="32"/>
          <w:szCs w:val="32"/>
        </w:rPr>
        <w:t>各区人民政府、市级有关部门要按照本方案要求，加强电力工程项目前期服务，充分与北京、上海等地区对标对表，学习借鉴先进经验做法，不断强化政策支持。充分利用前期有关文件及支持性政策，共同推动电力工程项目审批服务质效提升。</w:t>
      </w:r>
    </w:p>
    <w:p>
      <w:pPr>
        <w:keepNext w:val="0"/>
        <w:keepLines w:val="0"/>
        <w:pageBreakBefore w:val="0"/>
        <w:widowControl w:val="0"/>
        <w:kinsoku/>
        <w:wordWrap/>
        <w:overflowPunct/>
        <w:topLinePunct w:val="0"/>
        <w:autoSpaceDE/>
        <w:autoSpaceDN/>
        <w:bidi w:val="0"/>
        <w:spacing w:line="580" w:lineRule="exact"/>
        <w:ind w:firstLine="640"/>
        <w:textAlignment w:val="auto"/>
        <w:rPr>
          <w:rFonts w:ascii="仿宋_GB2312" w:hAnsi="仿宋_GB2312" w:eastAsia="仿宋_GB2312" w:cs="仿宋_GB2312"/>
          <w:sz w:val="32"/>
          <w:szCs w:val="32"/>
        </w:rPr>
      </w:pPr>
      <w:r>
        <w:rPr>
          <w:rFonts w:ascii="楷体_GB2312" w:hAnsi="楷体_GB2312" w:eastAsia="楷体_GB2312" w:cs="楷体_GB2312"/>
          <w:sz w:val="32"/>
          <w:szCs w:val="32"/>
        </w:rPr>
        <w:t>（二）</w:t>
      </w:r>
      <w:r>
        <w:rPr>
          <w:rFonts w:hint="eastAsia" w:ascii="楷体_GB2312" w:hAnsi="楷体_GB2312" w:eastAsia="楷体_GB2312" w:cs="楷体_GB2312"/>
          <w:sz w:val="32"/>
          <w:szCs w:val="32"/>
        </w:rPr>
        <w:t>加强业务培训指导</w:t>
      </w:r>
      <w:r>
        <w:rPr>
          <w:rFonts w:ascii="楷体_GB2312" w:hAnsi="楷体_GB2312" w:eastAsia="楷体_GB2312" w:cs="楷体_GB2312"/>
          <w:sz w:val="32"/>
          <w:szCs w:val="32"/>
        </w:rPr>
        <w:t>。</w:t>
      </w:r>
      <w:r>
        <w:rPr>
          <w:rFonts w:hint="eastAsia" w:ascii="仿宋_GB2312" w:hAnsi="仿宋_GB2312" w:eastAsia="仿宋_GB2312" w:cs="仿宋_GB2312"/>
          <w:sz w:val="32"/>
          <w:szCs w:val="32"/>
        </w:rPr>
        <w:t>市级有关部门要加强对区级部门的业务指导，定期开展本行业专题业务培训，不断提升一线工作人员政务服务能力及水平，为电力领域政务服务提质增效提供全方位支持。</w:t>
      </w:r>
    </w:p>
    <w:p>
      <w:pPr>
        <w:keepNext w:val="0"/>
        <w:keepLines w:val="0"/>
        <w:pageBreakBefore w:val="0"/>
        <w:widowControl w:val="0"/>
        <w:kinsoku/>
        <w:wordWrap/>
        <w:overflowPunct/>
        <w:topLinePunct w:val="0"/>
        <w:autoSpaceDE/>
        <w:autoSpaceDN/>
        <w:bidi w:val="0"/>
        <w:spacing w:line="580" w:lineRule="exact"/>
        <w:ind w:firstLine="640"/>
        <w:textAlignment w:val="auto"/>
      </w:pPr>
      <w:r>
        <w:rPr>
          <w:rFonts w:ascii="楷体_GB2312" w:hAnsi="楷体_GB2312" w:eastAsia="楷体_GB2312" w:cs="楷体_GB2312"/>
          <w:sz w:val="32"/>
          <w:szCs w:val="32"/>
        </w:rPr>
        <w:t>（三）</w:t>
      </w:r>
      <w:r>
        <w:rPr>
          <w:rFonts w:hint="eastAsia" w:ascii="楷体_GB2312" w:hAnsi="楷体_GB2312" w:eastAsia="楷体_GB2312" w:cs="楷体_GB2312"/>
          <w:sz w:val="32"/>
          <w:szCs w:val="32"/>
        </w:rPr>
        <w:t>加强宣传引导</w:t>
      </w:r>
      <w:r>
        <w:rPr>
          <w:rFonts w:ascii="楷体_GB2312" w:hAnsi="楷体_GB2312" w:eastAsia="楷体_GB2312" w:cs="楷体_GB2312"/>
          <w:sz w:val="32"/>
          <w:szCs w:val="32"/>
        </w:rPr>
        <w:t>。</w:t>
      </w:r>
      <w:r>
        <w:rPr>
          <w:rFonts w:hint="eastAsia" w:ascii="仿宋_GB2312" w:hAnsi="仿宋_GB2312" w:eastAsia="仿宋_GB2312" w:cs="仿宋_GB2312"/>
          <w:sz w:val="32"/>
          <w:szCs w:val="32"/>
        </w:rPr>
        <w:t>各区人民政府、市级有关部门要通过多角度、多渠道，强化电力工程项目办理渠道、办理流程、申报条件等要素的宣传引导，确保申报单位会操作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能办成。</w:t>
      </w:r>
    </w:p>
    <w:p>
      <w:pPr>
        <w:spacing w:line="560" w:lineRule="exact"/>
        <w:ind w:firstLine="640"/>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p>
    <w:p>
      <w:pPr>
        <w:spacing w:line="500" w:lineRule="exact"/>
        <w:jc w:val="left"/>
        <w:rPr>
          <w:rFonts w:ascii="仿宋_GB2312" w:eastAsia="仿宋_GB2312"/>
          <w:sz w:val="32"/>
          <w:szCs w:val="32"/>
        </w:rPr>
      </w:pPr>
      <w:bookmarkStart w:id="0" w:name="_GoBack"/>
      <w:bookmarkEnd w:id="0"/>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440208"/>
    </w:sdtPr>
    <w:sdtEndPr>
      <w:rPr>
        <w:rFonts w:ascii="宋体" w:hAnsi="宋体"/>
        <w:sz w:val="28"/>
        <w:szCs w:val="28"/>
      </w:rPr>
    </w:sdtEndPr>
    <w:sdtContent>
      <w:p>
        <w:pPr>
          <w:pStyle w:val="7"/>
          <w:jc w:val="right"/>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9090934"/>
    </w:sdtPr>
    <w:sdtEndPr>
      <w:rPr>
        <w:rFonts w:ascii="宋体" w:hAnsi="宋体"/>
        <w:sz w:val="28"/>
        <w:szCs w:val="28"/>
      </w:rPr>
    </w:sdtEndPr>
    <w:sdtContent>
      <w:p>
        <w:pPr>
          <w:pStyle w:val="7"/>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3YTYwZmZkMzhjZWE1NWI4NDVjMzU0Y2JhMTRhYzcifQ=="/>
  </w:docVars>
  <w:rsids>
    <w:rsidRoot w:val="00172A27"/>
    <w:rsid w:val="000018CE"/>
    <w:rsid w:val="00001AB4"/>
    <w:rsid w:val="00014C1D"/>
    <w:rsid w:val="000253FA"/>
    <w:rsid w:val="000333AA"/>
    <w:rsid w:val="0003707F"/>
    <w:rsid w:val="00042E70"/>
    <w:rsid w:val="0004639D"/>
    <w:rsid w:val="00055525"/>
    <w:rsid w:val="0007601A"/>
    <w:rsid w:val="000A5F93"/>
    <w:rsid w:val="000A63DE"/>
    <w:rsid w:val="000A7A8D"/>
    <w:rsid w:val="000B5C9B"/>
    <w:rsid w:val="000C0C45"/>
    <w:rsid w:val="000C1497"/>
    <w:rsid w:val="000C22B7"/>
    <w:rsid w:val="000C4844"/>
    <w:rsid w:val="000D6643"/>
    <w:rsid w:val="000D7811"/>
    <w:rsid w:val="000D7F25"/>
    <w:rsid w:val="0010035D"/>
    <w:rsid w:val="00101976"/>
    <w:rsid w:val="00107DB1"/>
    <w:rsid w:val="00110F30"/>
    <w:rsid w:val="00111727"/>
    <w:rsid w:val="001148EF"/>
    <w:rsid w:val="00116C4B"/>
    <w:rsid w:val="0012371B"/>
    <w:rsid w:val="00130487"/>
    <w:rsid w:val="00135C6E"/>
    <w:rsid w:val="00146380"/>
    <w:rsid w:val="00153890"/>
    <w:rsid w:val="00161D44"/>
    <w:rsid w:val="00163487"/>
    <w:rsid w:val="00163F1A"/>
    <w:rsid w:val="001704F5"/>
    <w:rsid w:val="00170859"/>
    <w:rsid w:val="00170CD6"/>
    <w:rsid w:val="00171CBA"/>
    <w:rsid w:val="00172A27"/>
    <w:rsid w:val="0017476E"/>
    <w:rsid w:val="00176089"/>
    <w:rsid w:val="001868B1"/>
    <w:rsid w:val="00186B72"/>
    <w:rsid w:val="001934D0"/>
    <w:rsid w:val="001977B5"/>
    <w:rsid w:val="001A16AF"/>
    <w:rsid w:val="001A3458"/>
    <w:rsid w:val="001A4C20"/>
    <w:rsid w:val="001B7420"/>
    <w:rsid w:val="001C258E"/>
    <w:rsid w:val="001C5FDA"/>
    <w:rsid w:val="001C7DAA"/>
    <w:rsid w:val="001F2FFC"/>
    <w:rsid w:val="001F38FF"/>
    <w:rsid w:val="001F50DD"/>
    <w:rsid w:val="0021072C"/>
    <w:rsid w:val="0021307F"/>
    <w:rsid w:val="00226E6E"/>
    <w:rsid w:val="002347A2"/>
    <w:rsid w:val="00246228"/>
    <w:rsid w:val="0025145C"/>
    <w:rsid w:val="00267E4F"/>
    <w:rsid w:val="002726E5"/>
    <w:rsid w:val="002865CA"/>
    <w:rsid w:val="00291795"/>
    <w:rsid w:val="00296C0B"/>
    <w:rsid w:val="002B2632"/>
    <w:rsid w:val="002C5900"/>
    <w:rsid w:val="002C74A1"/>
    <w:rsid w:val="002D306A"/>
    <w:rsid w:val="002E6223"/>
    <w:rsid w:val="002E7284"/>
    <w:rsid w:val="002E7A86"/>
    <w:rsid w:val="002F7176"/>
    <w:rsid w:val="0030267C"/>
    <w:rsid w:val="003056F7"/>
    <w:rsid w:val="00314A8B"/>
    <w:rsid w:val="003155B4"/>
    <w:rsid w:val="0031799C"/>
    <w:rsid w:val="00330A1E"/>
    <w:rsid w:val="00334157"/>
    <w:rsid w:val="00341095"/>
    <w:rsid w:val="00341CA3"/>
    <w:rsid w:val="00345911"/>
    <w:rsid w:val="00346C1D"/>
    <w:rsid w:val="00347F61"/>
    <w:rsid w:val="00364778"/>
    <w:rsid w:val="003676C1"/>
    <w:rsid w:val="00371E04"/>
    <w:rsid w:val="00373551"/>
    <w:rsid w:val="00376D8F"/>
    <w:rsid w:val="00377C20"/>
    <w:rsid w:val="003946CB"/>
    <w:rsid w:val="003C4931"/>
    <w:rsid w:val="003D327D"/>
    <w:rsid w:val="003E1D50"/>
    <w:rsid w:val="003F44B7"/>
    <w:rsid w:val="003F4F6D"/>
    <w:rsid w:val="003F565C"/>
    <w:rsid w:val="004060E2"/>
    <w:rsid w:val="0041448F"/>
    <w:rsid w:val="00414518"/>
    <w:rsid w:val="00455516"/>
    <w:rsid w:val="00460109"/>
    <w:rsid w:val="00470C5B"/>
    <w:rsid w:val="0047360C"/>
    <w:rsid w:val="004774AB"/>
    <w:rsid w:val="00490928"/>
    <w:rsid w:val="00493417"/>
    <w:rsid w:val="0049733A"/>
    <w:rsid w:val="004A0425"/>
    <w:rsid w:val="004A497C"/>
    <w:rsid w:val="004C4AB0"/>
    <w:rsid w:val="004C504E"/>
    <w:rsid w:val="004C60EE"/>
    <w:rsid w:val="004D3F31"/>
    <w:rsid w:val="004D60B3"/>
    <w:rsid w:val="004E2E40"/>
    <w:rsid w:val="004E7922"/>
    <w:rsid w:val="004F2900"/>
    <w:rsid w:val="00530515"/>
    <w:rsid w:val="005335EC"/>
    <w:rsid w:val="005512DE"/>
    <w:rsid w:val="00571178"/>
    <w:rsid w:val="0057205F"/>
    <w:rsid w:val="00573818"/>
    <w:rsid w:val="0057533E"/>
    <w:rsid w:val="00581562"/>
    <w:rsid w:val="005B15D1"/>
    <w:rsid w:val="005C1172"/>
    <w:rsid w:val="005C5E5A"/>
    <w:rsid w:val="005C6B86"/>
    <w:rsid w:val="005D1CDD"/>
    <w:rsid w:val="005D356E"/>
    <w:rsid w:val="005D56C3"/>
    <w:rsid w:val="005E6F09"/>
    <w:rsid w:val="006046F5"/>
    <w:rsid w:val="0060688A"/>
    <w:rsid w:val="0061209B"/>
    <w:rsid w:val="006120F1"/>
    <w:rsid w:val="0062288F"/>
    <w:rsid w:val="0062698C"/>
    <w:rsid w:val="00631D0C"/>
    <w:rsid w:val="0063225F"/>
    <w:rsid w:val="006330CC"/>
    <w:rsid w:val="0063373C"/>
    <w:rsid w:val="006338E2"/>
    <w:rsid w:val="00640E89"/>
    <w:rsid w:val="006428C7"/>
    <w:rsid w:val="00650740"/>
    <w:rsid w:val="00652EFE"/>
    <w:rsid w:val="00657B32"/>
    <w:rsid w:val="00661351"/>
    <w:rsid w:val="006748B8"/>
    <w:rsid w:val="00676120"/>
    <w:rsid w:val="00682422"/>
    <w:rsid w:val="00693D70"/>
    <w:rsid w:val="00694973"/>
    <w:rsid w:val="006A3226"/>
    <w:rsid w:val="006B24E8"/>
    <w:rsid w:val="006B5B2B"/>
    <w:rsid w:val="006C2725"/>
    <w:rsid w:val="006E2F0B"/>
    <w:rsid w:val="006F604D"/>
    <w:rsid w:val="00701740"/>
    <w:rsid w:val="00710E97"/>
    <w:rsid w:val="00721AB3"/>
    <w:rsid w:val="00721FD5"/>
    <w:rsid w:val="00725A7C"/>
    <w:rsid w:val="007350B9"/>
    <w:rsid w:val="00735DD7"/>
    <w:rsid w:val="00740C3C"/>
    <w:rsid w:val="00741E37"/>
    <w:rsid w:val="007430B6"/>
    <w:rsid w:val="00766439"/>
    <w:rsid w:val="00770355"/>
    <w:rsid w:val="00776EB2"/>
    <w:rsid w:val="00776F76"/>
    <w:rsid w:val="007818E5"/>
    <w:rsid w:val="007831B4"/>
    <w:rsid w:val="00793126"/>
    <w:rsid w:val="007B4DAD"/>
    <w:rsid w:val="007C1A1D"/>
    <w:rsid w:val="007C7F6E"/>
    <w:rsid w:val="007E0553"/>
    <w:rsid w:val="007E2180"/>
    <w:rsid w:val="007F1168"/>
    <w:rsid w:val="007F3D93"/>
    <w:rsid w:val="007F67F9"/>
    <w:rsid w:val="007F6882"/>
    <w:rsid w:val="00801714"/>
    <w:rsid w:val="008208C6"/>
    <w:rsid w:val="00821432"/>
    <w:rsid w:val="00823CC7"/>
    <w:rsid w:val="00824F28"/>
    <w:rsid w:val="00837F5E"/>
    <w:rsid w:val="0084532F"/>
    <w:rsid w:val="0085086A"/>
    <w:rsid w:val="008523B5"/>
    <w:rsid w:val="00856FF4"/>
    <w:rsid w:val="008573D4"/>
    <w:rsid w:val="00867292"/>
    <w:rsid w:val="0087360C"/>
    <w:rsid w:val="00873BD9"/>
    <w:rsid w:val="00880F23"/>
    <w:rsid w:val="00892A55"/>
    <w:rsid w:val="008939C1"/>
    <w:rsid w:val="008A0C3F"/>
    <w:rsid w:val="008B5755"/>
    <w:rsid w:val="008C408D"/>
    <w:rsid w:val="008D6C09"/>
    <w:rsid w:val="008E303A"/>
    <w:rsid w:val="009023B5"/>
    <w:rsid w:val="009104A0"/>
    <w:rsid w:val="00921BE4"/>
    <w:rsid w:val="0093535C"/>
    <w:rsid w:val="00936F71"/>
    <w:rsid w:val="00937534"/>
    <w:rsid w:val="00943A2F"/>
    <w:rsid w:val="00946526"/>
    <w:rsid w:val="009506F2"/>
    <w:rsid w:val="00954392"/>
    <w:rsid w:val="009545BD"/>
    <w:rsid w:val="00961C58"/>
    <w:rsid w:val="00961F5B"/>
    <w:rsid w:val="00963BDF"/>
    <w:rsid w:val="00963DB2"/>
    <w:rsid w:val="00965D17"/>
    <w:rsid w:val="009756B9"/>
    <w:rsid w:val="00986D3A"/>
    <w:rsid w:val="0099177B"/>
    <w:rsid w:val="0099326C"/>
    <w:rsid w:val="009961EE"/>
    <w:rsid w:val="00997ACC"/>
    <w:rsid w:val="009A4492"/>
    <w:rsid w:val="009C20E2"/>
    <w:rsid w:val="009D33CA"/>
    <w:rsid w:val="009D3AAE"/>
    <w:rsid w:val="009E1E0A"/>
    <w:rsid w:val="009F1B61"/>
    <w:rsid w:val="009F5BB9"/>
    <w:rsid w:val="009F6CB2"/>
    <w:rsid w:val="00A05104"/>
    <w:rsid w:val="00A07D71"/>
    <w:rsid w:val="00A109B5"/>
    <w:rsid w:val="00A20544"/>
    <w:rsid w:val="00A222D5"/>
    <w:rsid w:val="00A24FC2"/>
    <w:rsid w:val="00A32FFD"/>
    <w:rsid w:val="00A35766"/>
    <w:rsid w:val="00A40069"/>
    <w:rsid w:val="00A41A13"/>
    <w:rsid w:val="00A51EB5"/>
    <w:rsid w:val="00A659C9"/>
    <w:rsid w:val="00A90BCD"/>
    <w:rsid w:val="00AA77F4"/>
    <w:rsid w:val="00AB08B0"/>
    <w:rsid w:val="00AC12AA"/>
    <w:rsid w:val="00AE6A74"/>
    <w:rsid w:val="00AF5482"/>
    <w:rsid w:val="00B05803"/>
    <w:rsid w:val="00B06BA1"/>
    <w:rsid w:val="00B14492"/>
    <w:rsid w:val="00B17055"/>
    <w:rsid w:val="00B203AB"/>
    <w:rsid w:val="00B3771E"/>
    <w:rsid w:val="00B42B02"/>
    <w:rsid w:val="00B45A6A"/>
    <w:rsid w:val="00B54926"/>
    <w:rsid w:val="00B558CB"/>
    <w:rsid w:val="00B71DC3"/>
    <w:rsid w:val="00B8496E"/>
    <w:rsid w:val="00B85AF4"/>
    <w:rsid w:val="00B94395"/>
    <w:rsid w:val="00BA0B90"/>
    <w:rsid w:val="00BA7CC4"/>
    <w:rsid w:val="00BE35A1"/>
    <w:rsid w:val="00BE4319"/>
    <w:rsid w:val="00BF7031"/>
    <w:rsid w:val="00C031B1"/>
    <w:rsid w:val="00C1081D"/>
    <w:rsid w:val="00C23C9F"/>
    <w:rsid w:val="00C26519"/>
    <w:rsid w:val="00C26B34"/>
    <w:rsid w:val="00C35616"/>
    <w:rsid w:val="00C46D19"/>
    <w:rsid w:val="00C46EC6"/>
    <w:rsid w:val="00C566A4"/>
    <w:rsid w:val="00C6769D"/>
    <w:rsid w:val="00C73B51"/>
    <w:rsid w:val="00C81098"/>
    <w:rsid w:val="00C87175"/>
    <w:rsid w:val="00C90146"/>
    <w:rsid w:val="00C93C74"/>
    <w:rsid w:val="00C96BF3"/>
    <w:rsid w:val="00CA6FED"/>
    <w:rsid w:val="00CB0D4F"/>
    <w:rsid w:val="00CB3F28"/>
    <w:rsid w:val="00CC4AD4"/>
    <w:rsid w:val="00CF1673"/>
    <w:rsid w:val="00CF3AD0"/>
    <w:rsid w:val="00CF3FE6"/>
    <w:rsid w:val="00CF60A4"/>
    <w:rsid w:val="00D00746"/>
    <w:rsid w:val="00D06AF6"/>
    <w:rsid w:val="00D137BF"/>
    <w:rsid w:val="00D27847"/>
    <w:rsid w:val="00D4789D"/>
    <w:rsid w:val="00D527D5"/>
    <w:rsid w:val="00D5345D"/>
    <w:rsid w:val="00D60EA2"/>
    <w:rsid w:val="00D61C6C"/>
    <w:rsid w:val="00D6669A"/>
    <w:rsid w:val="00D77898"/>
    <w:rsid w:val="00D8037D"/>
    <w:rsid w:val="00D818DE"/>
    <w:rsid w:val="00DA2997"/>
    <w:rsid w:val="00DA3733"/>
    <w:rsid w:val="00DA5FB5"/>
    <w:rsid w:val="00DA73BC"/>
    <w:rsid w:val="00DC40B3"/>
    <w:rsid w:val="00DC5C6C"/>
    <w:rsid w:val="00DD1587"/>
    <w:rsid w:val="00DD3B0B"/>
    <w:rsid w:val="00DE6254"/>
    <w:rsid w:val="00DE7ADC"/>
    <w:rsid w:val="00DF0736"/>
    <w:rsid w:val="00DF194A"/>
    <w:rsid w:val="00E0323C"/>
    <w:rsid w:val="00E1469B"/>
    <w:rsid w:val="00E15311"/>
    <w:rsid w:val="00E26021"/>
    <w:rsid w:val="00E2726D"/>
    <w:rsid w:val="00E308E6"/>
    <w:rsid w:val="00E351B1"/>
    <w:rsid w:val="00E36667"/>
    <w:rsid w:val="00E51963"/>
    <w:rsid w:val="00E55240"/>
    <w:rsid w:val="00E61D88"/>
    <w:rsid w:val="00E673C9"/>
    <w:rsid w:val="00E769F1"/>
    <w:rsid w:val="00E82732"/>
    <w:rsid w:val="00E83399"/>
    <w:rsid w:val="00E876D3"/>
    <w:rsid w:val="00E922AE"/>
    <w:rsid w:val="00E95586"/>
    <w:rsid w:val="00EA378A"/>
    <w:rsid w:val="00EB0F79"/>
    <w:rsid w:val="00ED0DB8"/>
    <w:rsid w:val="00ED2D66"/>
    <w:rsid w:val="00ED59C6"/>
    <w:rsid w:val="00F01D21"/>
    <w:rsid w:val="00F1446F"/>
    <w:rsid w:val="00F16DCD"/>
    <w:rsid w:val="00F23CEF"/>
    <w:rsid w:val="00F42C9B"/>
    <w:rsid w:val="00F439E2"/>
    <w:rsid w:val="00F45153"/>
    <w:rsid w:val="00F644A3"/>
    <w:rsid w:val="00F74BE6"/>
    <w:rsid w:val="00F7574E"/>
    <w:rsid w:val="00F7639D"/>
    <w:rsid w:val="00F9499D"/>
    <w:rsid w:val="00FA7DC0"/>
    <w:rsid w:val="00FD5EF0"/>
    <w:rsid w:val="00FE160A"/>
    <w:rsid w:val="00FE165F"/>
    <w:rsid w:val="00FE6EE1"/>
    <w:rsid w:val="00FF02F1"/>
    <w:rsid w:val="0159749B"/>
    <w:rsid w:val="01611754"/>
    <w:rsid w:val="01840F47"/>
    <w:rsid w:val="018C5EBB"/>
    <w:rsid w:val="01C86440"/>
    <w:rsid w:val="01D07A5E"/>
    <w:rsid w:val="01D26967"/>
    <w:rsid w:val="01E05071"/>
    <w:rsid w:val="01E514A5"/>
    <w:rsid w:val="01EF0CE9"/>
    <w:rsid w:val="023C4B9E"/>
    <w:rsid w:val="024154C4"/>
    <w:rsid w:val="02457582"/>
    <w:rsid w:val="024D4FF0"/>
    <w:rsid w:val="028A7700"/>
    <w:rsid w:val="02B23C37"/>
    <w:rsid w:val="02E871EE"/>
    <w:rsid w:val="02FB638A"/>
    <w:rsid w:val="03023B4C"/>
    <w:rsid w:val="03066882"/>
    <w:rsid w:val="031231D8"/>
    <w:rsid w:val="035B61DE"/>
    <w:rsid w:val="0394377A"/>
    <w:rsid w:val="03C11F54"/>
    <w:rsid w:val="046C10E6"/>
    <w:rsid w:val="047C0B9D"/>
    <w:rsid w:val="04E208FD"/>
    <w:rsid w:val="04F04D07"/>
    <w:rsid w:val="04F5700B"/>
    <w:rsid w:val="052E372F"/>
    <w:rsid w:val="0556563C"/>
    <w:rsid w:val="055878F1"/>
    <w:rsid w:val="055D1038"/>
    <w:rsid w:val="0592190D"/>
    <w:rsid w:val="05922277"/>
    <w:rsid w:val="05E062DE"/>
    <w:rsid w:val="061D2F2D"/>
    <w:rsid w:val="064C27C3"/>
    <w:rsid w:val="06541A00"/>
    <w:rsid w:val="06562EF4"/>
    <w:rsid w:val="065F4CD8"/>
    <w:rsid w:val="06674864"/>
    <w:rsid w:val="06752A0E"/>
    <w:rsid w:val="06A011F8"/>
    <w:rsid w:val="06A0177D"/>
    <w:rsid w:val="06DD748E"/>
    <w:rsid w:val="06FF2A89"/>
    <w:rsid w:val="070E2796"/>
    <w:rsid w:val="073F4926"/>
    <w:rsid w:val="075B4412"/>
    <w:rsid w:val="076735A6"/>
    <w:rsid w:val="0771288B"/>
    <w:rsid w:val="078C7DDD"/>
    <w:rsid w:val="079E62E4"/>
    <w:rsid w:val="07B70029"/>
    <w:rsid w:val="07B843CB"/>
    <w:rsid w:val="07BD2BDC"/>
    <w:rsid w:val="07C4072E"/>
    <w:rsid w:val="08146BE4"/>
    <w:rsid w:val="086C65BB"/>
    <w:rsid w:val="087D6E94"/>
    <w:rsid w:val="08AB6C76"/>
    <w:rsid w:val="08C91DE4"/>
    <w:rsid w:val="08E40D2B"/>
    <w:rsid w:val="08FF4087"/>
    <w:rsid w:val="09164013"/>
    <w:rsid w:val="091C7F21"/>
    <w:rsid w:val="09362778"/>
    <w:rsid w:val="095F45B7"/>
    <w:rsid w:val="09851EE6"/>
    <w:rsid w:val="09960FA1"/>
    <w:rsid w:val="09992073"/>
    <w:rsid w:val="09BF3789"/>
    <w:rsid w:val="09C53F1A"/>
    <w:rsid w:val="0A215A2B"/>
    <w:rsid w:val="0A284C77"/>
    <w:rsid w:val="0A3E7BDC"/>
    <w:rsid w:val="0A410456"/>
    <w:rsid w:val="0A4D2912"/>
    <w:rsid w:val="0A4E75E1"/>
    <w:rsid w:val="0A5A4D76"/>
    <w:rsid w:val="0A6C71A3"/>
    <w:rsid w:val="0A9533E8"/>
    <w:rsid w:val="0A973AB0"/>
    <w:rsid w:val="0A9D3483"/>
    <w:rsid w:val="0AB55670"/>
    <w:rsid w:val="0ABA25D9"/>
    <w:rsid w:val="0AD72590"/>
    <w:rsid w:val="0AD81114"/>
    <w:rsid w:val="0AE4431D"/>
    <w:rsid w:val="0AF10B57"/>
    <w:rsid w:val="0AF50CA1"/>
    <w:rsid w:val="0B01419F"/>
    <w:rsid w:val="0B07669D"/>
    <w:rsid w:val="0B0B7863"/>
    <w:rsid w:val="0B381E26"/>
    <w:rsid w:val="0B3C0F24"/>
    <w:rsid w:val="0B4C3169"/>
    <w:rsid w:val="0B5B0AE0"/>
    <w:rsid w:val="0B7F1333"/>
    <w:rsid w:val="0B8126BC"/>
    <w:rsid w:val="0BA83DE9"/>
    <w:rsid w:val="0BBA1A83"/>
    <w:rsid w:val="0BC90CFD"/>
    <w:rsid w:val="0BD96064"/>
    <w:rsid w:val="0BEC7AB5"/>
    <w:rsid w:val="0BFD5A0F"/>
    <w:rsid w:val="0C390EBE"/>
    <w:rsid w:val="0C5427FD"/>
    <w:rsid w:val="0C64114C"/>
    <w:rsid w:val="0CD247AB"/>
    <w:rsid w:val="0D2F7061"/>
    <w:rsid w:val="0D3B3854"/>
    <w:rsid w:val="0D6B3844"/>
    <w:rsid w:val="0D6F7A99"/>
    <w:rsid w:val="0D894C13"/>
    <w:rsid w:val="0D900121"/>
    <w:rsid w:val="0D961BEF"/>
    <w:rsid w:val="0D9E2637"/>
    <w:rsid w:val="0DAB627B"/>
    <w:rsid w:val="0DBD12E7"/>
    <w:rsid w:val="0E16626E"/>
    <w:rsid w:val="0E2333F9"/>
    <w:rsid w:val="0E3E29DC"/>
    <w:rsid w:val="0E711878"/>
    <w:rsid w:val="0E874B3A"/>
    <w:rsid w:val="0EAB22FD"/>
    <w:rsid w:val="0EB87170"/>
    <w:rsid w:val="0EDE591B"/>
    <w:rsid w:val="0EF779D7"/>
    <w:rsid w:val="0F8245E3"/>
    <w:rsid w:val="0F8C7878"/>
    <w:rsid w:val="0FBA3AA4"/>
    <w:rsid w:val="0FC6282A"/>
    <w:rsid w:val="0FDE189A"/>
    <w:rsid w:val="0FE959F6"/>
    <w:rsid w:val="101543F3"/>
    <w:rsid w:val="1027458E"/>
    <w:rsid w:val="102B3D15"/>
    <w:rsid w:val="104E19EC"/>
    <w:rsid w:val="10552AE6"/>
    <w:rsid w:val="109D0A7D"/>
    <w:rsid w:val="10B43616"/>
    <w:rsid w:val="10B940E0"/>
    <w:rsid w:val="112715D5"/>
    <w:rsid w:val="113D0915"/>
    <w:rsid w:val="11CF743E"/>
    <w:rsid w:val="11D207DE"/>
    <w:rsid w:val="11ED49A5"/>
    <w:rsid w:val="120D388F"/>
    <w:rsid w:val="129D3D6F"/>
    <w:rsid w:val="129F594E"/>
    <w:rsid w:val="12B83CE1"/>
    <w:rsid w:val="12C40D93"/>
    <w:rsid w:val="12DF3FE3"/>
    <w:rsid w:val="12EB7109"/>
    <w:rsid w:val="1314772E"/>
    <w:rsid w:val="132E1739"/>
    <w:rsid w:val="132E17F5"/>
    <w:rsid w:val="133662B4"/>
    <w:rsid w:val="135D009C"/>
    <w:rsid w:val="13BB1582"/>
    <w:rsid w:val="13C54825"/>
    <w:rsid w:val="13F84E0E"/>
    <w:rsid w:val="14043BD5"/>
    <w:rsid w:val="14514E87"/>
    <w:rsid w:val="148B7185"/>
    <w:rsid w:val="14946932"/>
    <w:rsid w:val="149E5564"/>
    <w:rsid w:val="14A40348"/>
    <w:rsid w:val="14F65D8F"/>
    <w:rsid w:val="153501CD"/>
    <w:rsid w:val="155240FA"/>
    <w:rsid w:val="161A6627"/>
    <w:rsid w:val="1625403E"/>
    <w:rsid w:val="163907FE"/>
    <w:rsid w:val="163E6B60"/>
    <w:rsid w:val="168A741A"/>
    <w:rsid w:val="169A6EA8"/>
    <w:rsid w:val="16F31A11"/>
    <w:rsid w:val="16F904F4"/>
    <w:rsid w:val="173C41C1"/>
    <w:rsid w:val="17772CFE"/>
    <w:rsid w:val="17E47AB1"/>
    <w:rsid w:val="17FA4146"/>
    <w:rsid w:val="17FE5BE5"/>
    <w:rsid w:val="18211932"/>
    <w:rsid w:val="185706CB"/>
    <w:rsid w:val="18706D19"/>
    <w:rsid w:val="18782510"/>
    <w:rsid w:val="189B19B4"/>
    <w:rsid w:val="18A87EE1"/>
    <w:rsid w:val="18C00A80"/>
    <w:rsid w:val="19254CE3"/>
    <w:rsid w:val="193F5A56"/>
    <w:rsid w:val="19770DC5"/>
    <w:rsid w:val="19D01341"/>
    <w:rsid w:val="19D5485F"/>
    <w:rsid w:val="19E819F6"/>
    <w:rsid w:val="19F317B6"/>
    <w:rsid w:val="19F75C84"/>
    <w:rsid w:val="1A085900"/>
    <w:rsid w:val="1A1D3331"/>
    <w:rsid w:val="1A372DFC"/>
    <w:rsid w:val="1A5D113C"/>
    <w:rsid w:val="1A7D7F5C"/>
    <w:rsid w:val="1A823490"/>
    <w:rsid w:val="1A8C516A"/>
    <w:rsid w:val="1ADA5A6E"/>
    <w:rsid w:val="1AE41F30"/>
    <w:rsid w:val="1B3A60C3"/>
    <w:rsid w:val="1B4312AB"/>
    <w:rsid w:val="1B547414"/>
    <w:rsid w:val="1B8249FF"/>
    <w:rsid w:val="1B8A508F"/>
    <w:rsid w:val="1B8B6267"/>
    <w:rsid w:val="1BB873A7"/>
    <w:rsid w:val="1BCF1D03"/>
    <w:rsid w:val="1BDE0FDD"/>
    <w:rsid w:val="1BE83AA5"/>
    <w:rsid w:val="1C104EA0"/>
    <w:rsid w:val="1C2B757F"/>
    <w:rsid w:val="1C2F45A0"/>
    <w:rsid w:val="1C340AE0"/>
    <w:rsid w:val="1C3E57EE"/>
    <w:rsid w:val="1C47115D"/>
    <w:rsid w:val="1C53160D"/>
    <w:rsid w:val="1C640348"/>
    <w:rsid w:val="1C6E6B85"/>
    <w:rsid w:val="1C89748A"/>
    <w:rsid w:val="1CAB03FE"/>
    <w:rsid w:val="1CD673B3"/>
    <w:rsid w:val="1CE6485F"/>
    <w:rsid w:val="1D10656B"/>
    <w:rsid w:val="1D23181E"/>
    <w:rsid w:val="1D484403"/>
    <w:rsid w:val="1D8929C4"/>
    <w:rsid w:val="1D9C1788"/>
    <w:rsid w:val="1DAE4A99"/>
    <w:rsid w:val="1E110049"/>
    <w:rsid w:val="1E4C61C2"/>
    <w:rsid w:val="1E701E54"/>
    <w:rsid w:val="1E853BE9"/>
    <w:rsid w:val="1E9B4BE4"/>
    <w:rsid w:val="1EF92BCA"/>
    <w:rsid w:val="1F6F6F9F"/>
    <w:rsid w:val="1F9426FD"/>
    <w:rsid w:val="1FC04CBC"/>
    <w:rsid w:val="1FC273A9"/>
    <w:rsid w:val="1FC52B84"/>
    <w:rsid w:val="1FDF2F13"/>
    <w:rsid w:val="1FDF7A4B"/>
    <w:rsid w:val="204F09E2"/>
    <w:rsid w:val="205D5065"/>
    <w:rsid w:val="2060123F"/>
    <w:rsid w:val="207133B8"/>
    <w:rsid w:val="20AA5698"/>
    <w:rsid w:val="20B06312"/>
    <w:rsid w:val="21414257"/>
    <w:rsid w:val="216700F7"/>
    <w:rsid w:val="217B75B3"/>
    <w:rsid w:val="21800BD0"/>
    <w:rsid w:val="21A523E0"/>
    <w:rsid w:val="21B45F33"/>
    <w:rsid w:val="22561C44"/>
    <w:rsid w:val="22633A30"/>
    <w:rsid w:val="22F9506E"/>
    <w:rsid w:val="233527F8"/>
    <w:rsid w:val="23385398"/>
    <w:rsid w:val="233A4DF6"/>
    <w:rsid w:val="233E3DE3"/>
    <w:rsid w:val="23452CA6"/>
    <w:rsid w:val="239C6879"/>
    <w:rsid w:val="239D7785"/>
    <w:rsid w:val="23D51830"/>
    <w:rsid w:val="24073DAA"/>
    <w:rsid w:val="24116459"/>
    <w:rsid w:val="24967344"/>
    <w:rsid w:val="24A13815"/>
    <w:rsid w:val="24ED4929"/>
    <w:rsid w:val="24F57997"/>
    <w:rsid w:val="25045465"/>
    <w:rsid w:val="252C4EBF"/>
    <w:rsid w:val="255328E7"/>
    <w:rsid w:val="25611B5E"/>
    <w:rsid w:val="25665B84"/>
    <w:rsid w:val="256C690B"/>
    <w:rsid w:val="25901A35"/>
    <w:rsid w:val="25C6622A"/>
    <w:rsid w:val="25DA0FC7"/>
    <w:rsid w:val="26003C16"/>
    <w:rsid w:val="26272F42"/>
    <w:rsid w:val="262B22D2"/>
    <w:rsid w:val="264005E4"/>
    <w:rsid w:val="26426FEC"/>
    <w:rsid w:val="268504A9"/>
    <w:rsid w:val="26934E41"/>
    <w:rsid w:val="269947FD"/>
    <w:rsid w:val="26A53812"/>
    <w:rsid w:val="271D20F2"/>
    <w:rsid w:val="271F125B"/>
    <w:rsid w:val="2726022E"/>
    <w:rsid w:val="2729324A"/>
    <w:rsid w:val="273E23F8"/>
    <w:rsid w:val="275506A0"/>
    <w:rsid w:val="275F2543"/>
    <w:rsid w:val="27D5621B"/>
    <w:rsid w:val="27EF2A21"/>
    <w:rsid w:val="27F535BA"/>
    <w:rsid w:val="27FD4864"/>
    <w:rsid w:val="27FE768D"/>
    <w:rsid w:val="28392DDE"/>
    <w:rsid w:val="28482C1A"/>
    <w:rsid w:val="285A2C19"/>
    <w:rsid w:val="287C133B"/>
    <w:rsid w:val="28921AAD"/>
    <w:rsid w:val="28BF7169"/>
    <w:rsid w:val="28CA146C"/>
    <w:rsid w:val="290802E6"/>
    <w:rsid w:val="29344ADF"/>
    <w:rsid w:val="2954135B"/>
    <w:rsid w:val="2962305F"/>
    <w:rsid w:val="29695D26"/>
    <w:rsid w:val="29840FDD"/>
    <w:rsid w:val="29B35447"/>
    <w:rsid w:val="2A292256"/>
    <w:rsid w:val="2A2F4F1B"/>
    <w:rsid w:val="2A373A35"/>
    <w:rsid w:val="2AA869F1"/>
    <w:rsid w:val="2ABF2EE3"/>
    <w:rsid w:val="2B164DD4"/>
    <w:rsid w:val="2B893375"/>
    <w:rsid w:val="2BA73778"/>
    <w:rsid w:val="2BC173F0"/>
    <w:rsid w:val="2BCA7930"/>
    <w:rsid w:val="2BF51303"/>
    <w:rsid w:val="2BF52558"/>
    <w:rsid w:val="2C1B6573"/>
    <w:rsid w:val="2C385379"/>
    <w:rsid w:val="2C772B04"/>
    <w:rsid w:val="2C8B6D99"/>
    <w:rsid w:val="2CFA790D"/>
    <w:rsid w:val="2D162257"/>
    <w:rsid w:val="2D3D7AED"/>
    <w:rsid w:val="2D3F450F"/>
    <w:rsid w:val="2D454B8B"/>
    <w:rsid w:val="2D74322F"/>
    <w:rsid w:val="2DB069B4"/>
    <w:rsid w:val="2DB50491"/>
    <w:rsid w:val="2DBF6D28"/>
    <w:rsid w:val="2DE9626D"/>
    <w:rsid w:val="2E09506C"/>
    <w:rsid w:val="2E180AD2"/>
    <w:rsid w:val="2E2C5578"/>
    <w:rsid w:val="2EB7063E"/>
    <w:rsid w:val="2ECC26BF"/>
    <w:rsid w:val="2ED41F07"/>
    <w:rsid w:val="2F263098"/>
    <w:rsid w:val="2F5C73A0"/>
    <w:rsid w:val="2FAC3D03"/>
    <w:rsid w:val="2FBC54AB"/>
    <w:rsid w:val="300C34B2"/>
    <w:rsid w:val="301947BD"/>
    <w:rsid w:val="30456E70"/>
    <w:rsid w:val="30525C17"/>
    <w:rsid w:val="307227D6"/>
    <w:rsid w:val="30802E91"/>
    <w:rsid w:val="30950B72"/>
    <w:rsid w:val="30BC53BD"/>
    <w:rsid w:val="30E04DFC"/>
    <w:rsid w:val="30EB02D9"/>
    <w:rsid w:val="310D5FA5"/>
    <w:rsid w:val="31294672"/>
    <w:rsid w:val="314F4E8F"/>
    <w:rsid w:val="315164D1"/>
    <w:rsid w:val="31B314AC"/>
    <w:rsid w:val="31D25768"/>
    <w:rsid w:val="3210799D"/>
    <w:rsid w:val="322B5981"/>
    <w:rsid w:val="324D7E58"/>
    <w:rsid w:val="326E2426"/>
    <w:rsid w:val="3277438E"/>
    <w:rsid w:val="330740E5"/>
    <w:rsid w:val="331D29D2"/>
    <w:rsid w:val="33333AA0"/>
    <w:rsid w:val="335E6B05"/>
    <w:rsid w:val="33634EF6"/>
    <w:rsid w:val="3384219F"/>
    <w:rsid w:val="33FD6BFD"/>
    <w:rsid w:val="34023CA7"/>
    <w:rsid w:val="341A5FD1"/>
    <w:rsid w:val="3452539A"/>
    <w:rsid w:val="345C4A02"/>
    <w:rsid w:val="3469746B"/>
    <w:rsid w:val="347A3CED"/>
    <w:rsid w:val="34CA7AB8"/>
    <w:rsid w:val="34CD3E7D"/>
    <w:rsid w:val="34CE16F0"/>
    <w:rsid w:val="34D17D5F"/>
    <w:rsid w:val="35050C0F"/>
    <w:rsid w:val="350A254C"/>
    <w:rsid w:val="3544593B"/>
    <w:rsid w:val="35527120"/>
    <w:rsid w:val="357F3FA7"/>
    <w:rsid w:val="35CC72A6"/>
    <w:rsid w:val="35E21768"/>
    <w:rsid w:val="35EC02B5"/>
    <w:rsid w:val="35ED7261"/>
    <w:rsid w:val="35F42894"/>
    <w:rsid w:val="36164E8D"/>
    <w:rsid w:val="364525F8"/>
    <w:rsid w:val="364959D1"/>
    <w:rsid w:val="36755514"/>
    <w:rsid w:val="36985F61"/>
    <w:rsid w:val="36995FEF"/>
    <w:rsid w:val="36CD614E"/>
    <w:rsid w:val="36FB6E3A"/>
    <w:rsid w:val="370435BB"/>
    <w:rsid w:val="370F78E9"/>
    <w:rsid w:val="371C1947"/>
    <w:rsid w:val="372539BC"/>
    <w:rsid w:val="373E6BEB"/>
    <w:rsid w:val="375866FD"/>
    <w:rsid w:val="375B3634"/>
    <w:rsid w:val="3773213A"/>
    <w:rsid w:val="37746CB1"/>
    <w:rsid w:val="378C642E"/>
    <w:rsid w:val="37FF133F"/>
    <w:rsid w:val="3817718C"/>
    <w:rsid w:val="38395DAF"/>
    <w:rsid w:val="383E226D"/>
    <w:rsid w:val="3872514E"/>
    <w:rsid w:val="38784B48"/>
    <w:rsid w:val="388A633B"/>
    <w:rsid w:val="38D32C6E"/>
    <w:rsid w:val="393E5313"/>
    <w:rsid w:val="39531E8D"/>
    <w:rsid w:val="395E0BD6"/>
    <w:rsid w:val="399A0D73"/>
    <w:rsid w:val="399B31F1"/>
    <w:rsid w:val="39B94AE9"/>
    <w:rsid w:val="39C75519"/>
    <w:rsid w:val="39CE680D"/>
    <w:rsid w:val="39D460F6"/>
    <w:rsid w:val="3A1E4026"/>
    <w:rsid w:val="3A444F3E"/>
    <w:rsid w:val="3A4927BB"/>
    <w:rsid w:val="3A5D4148"/>
    <w:rsid w:val="3A614714"/>
    <w:rsid w:val="3A6558FB"/>
    <w:rsid w:val="3A740898"/>
    <w:rsid w:val="3AD036D7"/>
    <w:rsid w:val="3B3A48A0"/>
    <w:rsid w:val="3B551F49"/>
    <w:rsid w:val="3B814D58"/>
    <w:rsid w:val="3B99114B"/>
    <w:rsid w:val="3BA669A1"/>
    <w:rsid w:val="3BE26964"/>
    <w:rsid w:val="3BFE5896"/>
    <w:rsid w:val="3C0B6CC1"/>
    <w:rsid w:val="3C8644E0"/>
    <w:rsid w:val="3C9B6C48"/>
    <w:rsid w:val="3CDE6233"/>
    <w:rsid w:val="3D0752FB"/>
    <w:rsid w:val="3D0E6262"/>
    <w:rsid w:val="3D131A5F"/>
    <w:rsid w:val="3D6F5918"/>
    <w:rsid w:val="3D703D40"/>
    <w:rsid w:val="3D7146E2"/>
    <w:rsid w:val="3DA248BC"/>
    <w:rsid w:val="3DAE25EC"/>
    <w:rsid w:val="3DB30BFF"/>
    <w:rsid w:val="3DD33037"/>
    <w:rsid w:val="3DF470B7"/>
    <w:rsid w:val="3E086FAE"/>
    <w:rsid w:val="3E0D431E"/>
    <w:rsid w:val="3E17450D"/>
    <w:rsid w:val="3E8D7EAC"/>
    <w:rsid w:val="3F09790A"/>
    <w:rsid w:val="3F14262D"/>
    <w:rsid w:val="3F381E9C"/>
    <w:rsid w:val="3F3C0EC6"/>
    <w:rsid w:val="3F423E71"/>
    <w:rsid w:val="3F6629AD"/>
    <w:rsid w:val="3F722A9E"/>
    <w:rsid w:val="3F7D48B2"/>
    <w:rsid w:val="3FD838C8"/>
    <w:rsid w:val="3FEE15CD"/>
    <w:rsid w:val="3FF75549"/>
    <w:rsid w:val="402B68FC"/>
    <w:rsid w:val="407C5C78"/>
    <w:rsid w:val="40823C5C"/>
    <w:rsid w:val="40875370"/>
    <w:rsid w:val="409A5CEF"/>
    <w:rsid w:val="40AA7864"/>
    <w:rsid w:val="40C029C3"/>
    <w:rsid w:val="40D53ADC"/>
    <w:rsid w:val="41070515"/>
    <w:rsid w:val="410F152A"/>
    <w:rsid w:val="413651A8"/>
    <w:rsid w:val="414A01AE"/>
    <w:rsid w:val="414C5349"/>
    <w:rsid w:val="41856088"/>
    <w:rsid w:val="41DB4512"/>
    <w:rsid w:val="422A121D"/>
    <w:rsid w:val="42337B35"/>
    <w:rsid w:val="424B68B9"/>
    <w:rsid w:val="427002B8"/>
    <w:rsid w:val="42A817E7"/>
    <w:rsid w:val="42CD2441"/>
    <w:rsid w:val="42DD6A2B"/>
    <w:rsid w:val="42E724BE"/>
    <w:rsid w:val="43085A02"/>
    <w:rsid w:val="430D512D"/>
    <w:rsid w:val="434F7799"/>
    <w:rsid w:val="43A33DAA"/>
    <w:rsid w:val="43A917A1"/>
    <w:rsid w:val="43F866E8"/>
    <w:rsid w:val="440706FB"/>
    <w:rsid w:val="441C7738"/>
    <w:rsid w:val="442C1A10"/>
    <w:rsid w:val="443622F6"/>
    <w:rsid w:val="44725F3D"/>
    <w:rsid w:val="44833BAB"/>
    <w:rsid w:val="44B1661A"/>
    <w:rsid w:val="44C80C89"/>
    <w:rsid w:val="44D94C97"/>
    <w:rsid w:val="44EB7C2D"/>
    <w:rsid w:val="44F1030F"/>
    <w:rsid w:val="455454B7"/>
    <w:rsid w:val="45550A54"/>
    <w:rsid w:val="45652AF3"/>
    <w:rsid w:val="456B3137"/>
    <w:rsid w:val="456E4C65"/>
    <w:rsid w:val="45724A9F"/>
    <w:rsid w:val="458A0512"/>
    <w:rsid w:val="45F00612"/>
    <w:rsid w:val="464741CD"/>
    <w:rsid w:val="465F0B03"/>
    <w:rsid w:val="466C66C3"/>
    <w:rsid w:val="46A31045"/>
    <w:rsid w:val="46D83A38"/>
    <w:rsid w:val="46E04532"/>
    <w:rsid w:val="46FC5F6B"/>
    <w:rsid w:val="47067C72"/>
    <w:rsid w:val="47511B74"/>
    <w:rsid w:val="47B11322"/>
    <w:rsid w:val="47DF267A"/>
    <w:rsid w:val="482F546E"/>
    <w:rsid w:val="48411CFD"/>
    <w:rsid w:val="48563926"/>
    <w:rsid w:val="48950A44"/>
    <w:rsid w:val="48A92693"/>
    <w:rsid w:val="48E254BB"/>
    <w:rsid w:val="48F255EB"/>
    <w:rsid w:val="48F4486E"/>
    <w:rsid w:val="49110EA6"/>
    <w:rsid w:val="494E427C"/>
    <w:rsid w:val="49B80BCB"/>
    <w:rsid w:val="49F40B65"/>
    <w:rsid w:val="4A1C2C2C"/>
    <w:rsid w:val="4A20586B"/>
    <w:rsid w:val="4A4B36B5"/>
    <w:rsid w:val="4A621B78"/>
    <w:rsid w:val="4AAB1AD7"/>
    <w:rsid w:val="4AED4C2F"/>
    <w:rsid w:val="4B0162A2"/>
    <w:rsid w:val="4B5900D8"/>
    <w:rsid w:val="4B753255"/>
    <w:rsid w:val="4B7F16BA"/>
    <w:rsid w:val="4B841A3D"/>
    <w:rsid w:val="4B850F0A"/>
    <w:rsid w:val="4BA67CFD"/>
    <w:rsid w:val="4BC30395"/>
    <w:rsid w:val="4BD14F9A"/>
    <w:rsid w:val="4C0124A1"/>
    <w:rsid w:val="4C150504"/>
    <w:rsid w:val="4C350909"/>
    <w:rsid w:val="4C5E7286"/>
    <w:rsid w:val="4C682C9D"/>
    <w:rsid w:val="4C6A737F"/>
    <w:rsid w:val="4C8C2D66"/>
    <w:rsid w:val="4C8F0C7B"/>
    <w:rsid w:val="4CCC69F8"/>
    <w:rsid w:val="4CF75075"/>
    <w:rsid w:val="4D2E4C95"/>
    <w:rsid w:val="4D423D54"/>
    <w:rsid w:val="4D575C20"/>
    <w:rsid w:val="4D5C6B2D"/>
    <w:rsid w:val="4D6E443B"/>
    <w:rsid w:val="4D7D54D5"/>
    <w:rsid w:val="4D9F01EE"/>
    <w:rsid w:val="4DDC783A"/>
    <w:rsid w:val="4DF80AF3"/>
    <w:rsid w:val="4E39282C"/>
    <w:rsid w:val="4E6565FF"/>
    <w:rsid w:val="4E8111C4"/>
    <w:rsid w:val="4EA75BE9"/>
    <w:rsid w:val="4EAE2F7E"/>
    <w:rsid w:val="4EB00200"/>
    <w:rsid w:val="4ED54B4A"/>
    <w:rsid w:val="4ED705F4"/>
    <w:rsid w:val="4F8E3D06"/>
    <w:rsid w:val="4FA41726"/>
    <w:rsid w:val="4FB110DA"/>
    <w:rsid w:val="4FCA6B1A"/>
    <w:rsid w:val="4FCF644B"/>
    <w:rsid w:val="4FE3520D"/>
    <w:rsid w:val="4FFF68E0"/>
    <w:rsid w:val="50045783"/>
    <w:rsid w:val="503E338F"/>
    <w:rsid w:val="50463045"/>
    <w:rsid w:val="505B6E7E"/>
    <w:rsid w:val="50784F8B"/>
    <w:rsid w:val="507E42C2"/>
    <w:rsid w:val="50837B17"/>
    <w:rsid w:val="50A16E04"/>
    <w:rsid w:val="50BC1588"/>
    <w:rsid w:val="50C65C2F"/>
    <w:rsid w:val="5103480E"/>
    <w:rsid w:val="51160051"/>
    <w:rsid w:val="512D0DE9"/>
    <w:rsid w:val="513853A4"/>
    <w:rsid w:val="513D75A2"/>
    <w:rsid w:val="513E4B50"/>
    <w:rsid w:val="5142715E"/>
    <w:rsid w:val="51597AAA"/>
    <w:rsid w:val="517A3546"/>
    <w:rsid w:val="518609C0"/>
    <w:rsid w:val="518D61A9"/>
    <w:rsid w:val="519135FC"/>
    <w:rsid w:val="51980844"/>
    <w:rsid w:val="520A6572"/>
    <w:rsid w:val="527C5F25"/>
    <w:rsid w:val="52873314"/>
    <w:rsid w:val="52894E19"/>
    <w:rsid w:val="528F26B1"/>
    <w:rsid w:val="529030DB"/>
    <w:rsid w:val="52AA78AF"/>
    <w:rsid w:val="52AC721E"/>
    <w:rsid w:val="52C26EA9"/>
    <w:rsid w:val="52C623F3"/>
    <w:rsid w:val="52C87C95"/>
    <w:rsid w:val="52D033E1"/>
    <w:rsid w:val="52D24E45"/>
    <w:rsid w:val="52F62B17"/>
    <w:rsid w:val="532862BA"/>
    <w:rsid w:val="532F5479"/>
    <w:rsid w:val="535255DB"/>
    <w:rsid w:val="53796746"/>
    <w:rsid w:val="53836176"/>
    <w:rsid w:val="53982293"/>
    <w:rsid w:val="539E0F91"/>
    <w:rsid w:val="53C73D16"/>
    <w:rsid w:val="53EC5D11"/>
    <w:rsid w:val="54166DCE"/>
    <w:rsid w:val="543B565D"/>
    <w:rsid w:val="5453158E"/>
    <w:rsid w:val="5456295A"/>
    <w:rsid w:val="546D686A"/>
    <w:rsid w:val="54AE50E0"/>
    <w:rsid w:val="553E61B8"/>
    <w:rsid w:val="55AA46C1"/>
    <w:rsid w:val="55FE9712"/>
    <w:rsid w:val="56797760"/>
    <w:rsid w:val="56A87266"/>
    <w:rsid w:val="56DD3102"/>
    <w:rsid w:val="570022C6"/>
    <w:rsid w:val="57961F0C"/>
    <w:rsid w:val="579631D4"/>
    <w:rsid w:val="579F1962"/>
    <w:rsid w:val="57AE3D94"/>
    <w:rsid w:val="57B37DDB"/>
    <w:rsid w:val="57C54104"/>
    <w:rsid w:val="57D70F9A"/>
    <w:rsid w:val="583F53E7"/>
    <w:rsid w:val="58491460"/>
    <w:rsid w:val="58514D3A"/>
    <w:rsid w:val="58546FDE"/>
    <w:rsid w:val="58BE6309"/>
    <w:rsid w:val="58D318CD"/>
    <w:rsid w:val="590C7D58"/>
    <w:rsid w:val="592004BC"/>
    <w:rsid w:val="59416012"/>
    <w:rsid w:val="594C6C17"/>
    <w:rsid w:val="59530579"/>
    <w:rsid w:val="595A5194"/>
    <w:rsid w:val="595D7BF5"/>
    <w:rsid w:val="59600F82"/>
    <w:rsid w:val="59793B29"/>
    <w:rsid w:val="59835C3C"/>
    <w:rsid w:val="59920D13"/>
    <w:rsid w:val="59DD458A"/>
    <w:rsid w:val="59E82FBF"/>
    <w:rsid w:val="5A215DE2"/>
    <w:rsid w:val="5A534854"/>
    <w:rsid w:val="5A57752C"/>
    <w:rsid w:val="5A965DBC"/>
    <w:rsid w:val="5AD35B94"/>
    <w:rsid w:val="5B11376B"/>
    <w:rsid w:val="5B2C53D6"/>
    <w:rsid w:val="5B3C5B63"/>
    <w:rsid w:val="5B407687"/>
    <w:rsid w:val="5B75780A"/>
    <w:rsid w:val="5BB94C3A"/>
    <w:rsid w:val="5BC46FA4"/>
    <w:rsid w:val="5BDD10DF"/>
    <w:rsid w:val="5C354FE5"/>
    <w:rsid w:val="5C6404A7"/>
    <w:rsid w:val="5C7675ED"/>
    <w:rsid w:val="5C8159CC"/>
    <w:rsid w:val="5C9440A5"/>
    <w:rsid w:val="5C957854"/>
    <w:rsid w:val="5CA0505F"/>
    <w:rsid w:val="5CCE304D"/>
    <w:rsid w:val="5CF27A36"/>
    <w:rsid w:val="5D07377A"/>
    <w:rsid w:val="5D153929"/>
    <w:rsid w:val="5D1E6702"/>
    <w:rsid w:val="5D592FED"/>
    <w:rsid w:val="5D667FEE"/>
    <w:rsid w:val="5D704011"/>
    <w:rsid w:val="5D7D6886"/>
    <w:rsid w:val="5DCA2CA3"/>
    <w:rsid w:val="5DFB84EC"/>
    <w:rsid w:val="5E121CA5"/>
    <w:rsid w:val="5E257EA3"/>
    <w:rsid w:val="5E5566E9"/>
    <w:rsid w:val="5E6F4F54"/>
    <w:rsid w:val="5E7D513E"/>
    <w:rsid w:val="5EBC2259"/>
    <w:rsid w:val="5ED420B3"/>
    <w:rsid w:val="5EE1171A"/>
    <w:rsid w:val="5EF52499"/>
    <w:rsid w:val="5F2C731D"/>
    <w:rsid w:val="5F3F7629"/>
    <w:rsid w:val="5F4968A0"/>
    <w:rsid w:val="5F9003CD"/>
    <w:rsid w:val="5F9251D5"/>
    <w:rsid w:val="5FC52897"/>
    <w:rsid w:val="6023190B"/>
    <w:rsid w:val="60345AD6"/>
    <w:rsid w:val="604C07DF"/>
    <w:rsid w:val="606A3B0A"/>
    <w:rsid w:val="610F26FC"/>
    <w:rsid w:val="6121127F"/>
    <w:rsid w:val="612B7928"/>
    <w:rsid w:val="61492C52"/>
    <w:rsid w:val="61631F3B"/>
    <w:rsid w:val="61A35186"/>
    <w:rsid w:val="61A43D5A"/>
    <w:rsid w:val="61B33EF7"/>
    <w:rsid w:val="61C2066B"/>
    <w:rsid w:val="61D17E7C"/>
    <w:rsid w:val="61EB1817"/>
    <w:rsid w:val="62131C47"/>
    <w:rsid w:val="621402B9"/>
    <w:rsid w:val="6215201E"/>
    <w:rsid w:val="62242B55"/>
    <w:rsid w:val="623D4401"/>
    <w:rsid w:val="62410138"/>
    <w:rsid w:val="62D52B8A"/>
    <w:rsid w:val="62FE5CAF"/>
    <w:rsid w:val="639C3BCA"/>
    <w:rsid w:val="63A44A51"/>
    <w:rsid w:val="63F25B95"/>
    <w:rsid w:val="64201031"/>
    <w:rsid w:val="649755EE"/>
    <w:rsid w:val="64D40906"/>
    <w:rsid w:val="64FC7D56"/>
    <w:rsid w:val="650E73BF"/>
    <w:rsid w:val="651750DF"/>
    <w:rsid w:val="652C308A"/>
    <w:rsid w:val="655E1193"/>
    <w:rsid w:val="65C532F2"/>
    <w:rsid w:val="65C611A8"/>
    <w:rsid w:val="65CD669C"/>
    <w:rsid w:val="65D113BC"/>
    <w:rsid w:val="65D147BB"/>
    <w:rsid w:val="65D865F3"/>
    <w:rsid w:val="65DD2880"/>
    <w:rsid w:val="65ED1AD0"/>
    <w:rsid w:val="66012A0F"/>
    <w:rsid w:val="66473C23"/>
    <w:rsid w:val="66576500"/>
    <w:rsid w:val="66633C92"/>
    <w:rsid w:val="667729EA"/>
    <w:rsid w:val="667750FB"/>
    <w:rsid w:val="667A692A"/>
    <w:rsid w:val="667B51FF"/>
    <w:rsid w:val="6749704D"/>
    <w:rsid w:val="679B7120"/>
    <w:rsid w:val="679C7B9C"/>
    <w:rsid w:val="67D66B67"/>
    <w:rsid w:val="67DB4053"/>
    <w:rsid w:val="680C245C"/>
    <w:rsid w:val="68331E03"/>
    <w:rsid w:val="68387312"/>
    <w:rsid w:val="6876798F"/>
    <w:rsid w:val="68C250FC"/>
    <w:rsid w:val="68DB0715"/>
    <w:rsid w:val="68EB3A29"/>
    <w:rsid w:val="68F36EE7"/>
    <w:rsid w:val="69501877"/>
    <w:rsid w:val="69700873"/>
    <w:rsid w:val="69735732"/>
    <w:rsid w:val="69A24F69"/>
    <w:rsid w:val="69B1623E"/>
    <w:rsid w:val="69D1326A"/>
    <w:rsid w:val="69E5580C"/>
    <w:rsid w:val="6A0030F0"/>
    <w:rsid w:val="6A1F47D1"/>
    <w:rsid w:val="6A9E4395"/>
    <w:rsid w:val="6ABB7420"/>
    <w:rsid w:val="6AC76DC3"/>
    <w:rsid w:val="6AD20F15"/>
    <w:rsid w:val="6AD55228"/>
    <w:rsid w:val="6AE7616E"/>
    <w:rsid w:val="6B0C11AF"/>
    <w:rsid w:val="6B1B6D0C"/>
    <w:rsid w:val="6B1E1447"/>
    <w:rsid w:val="6B3A647A"/>
    <w:rsid w:val="6B532CF5"/>
    <w:rsid w:val="6B712552"/>
    <w:rsid w:val="6BCA12DE"/>
    <w:rsid w:val="6BCB1466"/>
    <w:rsid w:val="6BDC08C1"/>
    <w:rsid w:val="6C363043"/>
    <w:rsid w:val="6C5423EF"/>
    <w:rsid w:val="6C5A6294"/>
    <w:rsid w:val="6C8A75C4"/>
    <w:rsid w:val="6CAA1D0A"/>
    <w:rsid w:val="6CFB6C90"/>
    <w:rsid w:val="6D033859"/>
    <w:rsid w:val="6D244307"/>
    <w:rsid w:val="6D5E5D3C"/>
    <w:rsid w:val="6D7B14CC"/>
    <w:rsid w:val="6D9A7208"/>
    <w:rsid w:val="6DBC7285"/>
    <w:rsid w:val="6DE16CAF"/>
    <w:rsid w:val="6DE64DFF"/>
    <w:rsid w:val="6DF129DA"/>
    <w:rsid w:val="6DF13443"/>
    <w:rsid w:val="6DF175C7"/>
    <w:rsid w:val="6E095B84"/>
    <w:rsid w:val="6E5F3E4B"/>
    <w:rsid w:val="6E8650F9"/>
    <w:rsid w:val="6EE251AD"/>
    <w:rsid w:val="6F3C428C"/>
    <w:rsid w:val="6F3FFE33"/>
    <w:rsid w:val="6F752A01"/>
    <w:rsid w:val="6F7E1EB1"/>
    <w:rsid w:val="6FC73194"/>
    <w:rsid w:val="6FC74991"/>
    <w:rsid w:val="6FDF1AB8"/>
    <w:rsid w:val="702D152B"/>
    <w:rsid w:val="705C2DF6"/>
    <w:rsid w:val="706C0063"/>
    <w:rsid w:val="70767627"/>
    <w:rsid w:val="70AF5334"/>
    <w:rsid w:val="70C07888"/>
    <w:rsid w:val="70D0279F"/>
    <w:rsid w:val="70D5391E"/>
    <w:rsid w:val="70EE74F2"/>
    <w:rsid w:val="71033C69"/>
    <w:rsid w:val="714C384B"/>
    <w:rsid w:val="716D037F"/>
    <w:rsid w:val="717A00CA"/>
    <w:rsid w:val="71AB0FB8"/>
    <w:rsid w:val="71AC5B5E"/>
    <w:rsid w:val="71B0325A"/>
    <w:rsid w:val="71D42657"/>
    <w:rsid w:val="71ED2E50"/>
    <w:rsid w:val="71F77C3C"/>
    <w:rsid w:val="720134B5"/>
    <w:rsid w:val="722346DB"/>
    <w:rsid w:val="72580347"/>
    <w:rsid w:val="726A4007"/>
    <w:rsid w:val="726E5AC1"/>
    <w:rsid w:val="729F69C8"/>
    <w:rsid w:val="72BF1193"/>
    <w:rsid w:val="72EC1058"/>
    <w:rsid w:val="73032DB3"/>
    <w:rsid w:val="73061FB1"/>
    <w:rsid w:val="73075068"/>
    <w:rsid w:val="73117674"/>
    <w:rsid w:val="733329EF"/>
    <w:rsid w:val="73642852"/>
    <w:rsid w:val="737F2FAE"/>
    <w:rsid w:val="73972E30"/>
    <w:rsid w:val="73AD2B22"/>
    <w:rsid w:val="73D36B4F"/>
    <w:rsid w:val="73F21FA3"/>
    <w:rsid w:val="7420414E"/>
    <w:rsid w:val="74252308"/>
    <w:rsid w:val="74273402"/>
    <w:rsid w:val="74302D50"/>
    <w:rsid w:val="748A19CE"/>
    <w:rsid w:val="74A1012D"/>
    <w:rsid w:val="74A86109"/>
    <w:rsid w:val="74AA27A7"/>
    <w:rsid w:val="74B84F16"/>
    <w:rsid w:val="74FE150D"/>
    <w:rsid w:val="750E1C61"/>
    <w:rsid w:val="75423439"/>
    <w:rsid w:val="75657021"/>
    <w:rsid w:val="75C34BE8"/>
    <w:rsid w:val="75DE2BBE"/>
    <w:rsid w:val="75E437B9"/>
    <w:rsid w:val="7639078F"/>
    <w:rsid w:val="763E2BC1"/>
    <w:rsid w:val="7645353C"/>
    <w:rsid w:val="767604E8"/>
    <w:rsid w:val="769C0276"/>
    <w:rsid w:val="76BE0E7D"/>
    <w:rsid w:val="76DD0008"/>
    <w:rsid w:val="77173CD7"/>
    <w:rsid w:val="771B2E82"/>
    <w:rsid w:val="775B7885"/>
    <w:rsid w:val="77707554"/>
    <w:rsid w:val="77834C30"/>
    <w:rsid w:val="77AD4AE5"/>
    <w:rsid w:val="77B37ED1"/>
    <w:rsid w:val="77BC27B7"/>
    <w:rsid w:val="77BD2AB1"/>
    <w:rsid w:val="77CC4449"/>
    <w:rsid w:val="77FE762C"/>
    <w:rsid w:val="782379E8"/>
    <w:rsid w:val="78396207"/>
    <w:rsid w:val="78462A8F"/>
    <w:rsid w:val="78B37852"/>
    <w:rsid w:val="78F22837"/>
    <w:rsid w:val="79071F78"/>
    <w:rsid w:val="79170A78"/>
    <w:rsid w:val="794359FC"/>
    <w:rsid w:val="79545F22"/>
    <w:rsid w:val="7971517A"/>
    <w:rsid w:val="79947EFA"/>
    <w:rsid w:val="79B3533C"/>
    <w:rsid w:val="79B4443A"/>
    <w:rsid w:val="79E81E14"/>
    <w:rsid w:val="7A0B324A"/>
    <w:rsid w:val="7A162A9B"/>
    <w:rsid w:val="7A2D1AEA"/>
    <w:rsid w:val="7A662C19"/>
    <w:rsid w:val="7A9B2521"/>
    <w:rsid w:val="7AA12BCD"/>
    <w:rsid w:val="7AD45EDD"/>
    <w:rsid w:val="7ADC1677"/>
    <w:rsid w:val="7AE91357"/>
    <w:rsid w:val="7AED54D4"/>
    <w:rsid w:val="7AFE512E"/>
    <w:rsid w:val="7B14613E"/>
    <w:rsid w:val="7B3869F5"/>
    <w:rsid w:val="7B5964C6"/>
    <w:rsid w:val="7B665560"/>
    <w:rsid w:val="7B7176D5"/>
    <w:rsid w:val="7B7C515A"/>
    <w:rsid w:val="7B9B5C16"/>
    <w:rsid w:val="7BFE78CC"/>
    <w:rsid w:val="7C2D301F"/>
    <w:rsid w:val="7C524886"/>
    <w:rsid w:val="7C58313C"/>
    <w:rsid w:val="7C5C2E05"/>
    <w:rsid w:val="7C7F4553"/>
    <w:rsid w:val="7C95108D"/>
    <w:rsid w:val="7CA70AB5"/>
    <w:rsid w:val="7D291D67"/>
    <w:rsid w:val="7D384394"/>
    <w:rsid w:val="7D587B53"/>
    <w:rsid w:val="7D7E297C"/>
    <w:rsid w:val="7D951DCE"/>
    <w:rsid w:val="7D9B0071"/>
    <w:rsid w:val="7DA97BA9"/>
    <w:rsid w:val="7DCE1D57"/>
    <w:rsid w:val="7E0C78BC"/>
    <w:rsid w:val="7E4556A8"/>
    <w:rsid w:val="7E684387"/>
    <w:rsid w:val="7E8C0219"/>
    <w:rsid w:val="7EB63C11"/>
    <w:rsid w:val="7EDB7D00"/>
    <w:rsid w:val="7F2D2016"/>
    <w:rsid w:val="7F8D524E"/>
    <w:rsid w:val="7FA46685"/>
    <w:rsid w:val="7FF44CE2"/>
    <w:rsid w:val="7FFE140A"/>
    <w:rsid w:val="9FF3EC4E"/>
    <w:rsid w:val="D6FF3638"/>
    <w:rsid w:val="EFFD9BF5"/>
    <w:rsid w:val="FCFFD762"/>
    <w:rsid w:val="FEA85AA0"/>
    <w:rsid w:val="FEF7C1EE"/>
    <w:rsid w:val="FF5D4B8D"/>
    <w:rsid w:val="FFF717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Document Map"/>
    <w:basedOn w:val="1"/>
    <w:link w:val="20"/>
    <w:semiHidden/>
    <w:unhideWhenUsed/>
    <w:qFormat/>
    <w:uiPriority w:val="99"/>
    <w:rPr>
      <w:rFonts w:ascii="宋体"/>
      <w:sz w:val="18"/>
      <w:szCs w:val="18"/>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spacing w:before="100" w:beforeAutospacing="1" w:after="100" w:afterAutospacing="1"/>
      <w:jc w:val="left"/>
    </w:pPr>
    <w:rPr>
      <w:kern w:val="0"/>
      <w:sz w:val="24"/>
    </w:rPr>
  </w:style>
  <w:style w:type="character" w:styleId="11">
    <w:name w:val="Strong"/>
    <w:basedOn w:val="10"/>
    <w:qFormat/>
    <w:uiPriority w:val="22"/>
    <w:rPr>
      <w:b/>
    </w:rPr>
  </w:style>
  <w:style w:type="character" w:styleId="12">
    <w:name w:val="Emphasis"/>
    <w:basedOn w:val="10"/>
    <w:qFormat/>
    <w:uiPriority w:val="20"/>
    <w:rPr>
      <w:i/>
      <w:iCs/>
    </w:rPr>
  </w:style>
  <w:style w:type="paragraph" w:styleId="14">
    <w:name w:val="List Paragraph"/>
    <w:basedOn w:val="1"/>
    <w:qFormat/>
    <w:uiPriority w:val="34"/>
    <w:pPr>
      <w:ind w:firstLine="420" w:firstLineChars="200"/>
    </w:pPr>
  </w:style>
  <w:style w:type="character" w:customStyle="1" w:styleId="15">
    <w:name w:val="页眉 字符"/>
    <w:basedOn w:val="10"/>
    <w:link w:val="8"/>
    <w:qFormat/>
    <w:uiPriority w:val="99"/>
    <w:rPr>
      <w:rFonts w:ascii="Calibri" w:hAnsi="Calibri" w:eastAsia="宋体" w:cs="Times New Roman"/>
      <w:sz w:val="18"/>
      <w:szCs w:val="18"/>
    </w:rPr>
  </w:style>
  <w:style w:type="character" w:customStyle="1" w:styleId="16">
    <w:name w:val="页脚 字符"/>
    <w:basedOn w:val="10"/>
    <w:link w:val="7"/>
    <w:qFormat/>
    <w:uiPriority w:val="99"/>
    <w:rPr>
      <w:rFonts w:ascii="Calibri" w:hAnsi="Calibri" w:eastAsia="宋体" w:cs="Times New Roman"/>
      <w:sz w:val="18"/>
      <w:szCs w:val="18"/>
    </w:rPr>
  </w:style>
  <w:style w:type="character" w:customStyle="1" w:styleId="17">
    <w:name w:val="标题 1 字符"/>
    <w:basedOn w:val="10"/>
    <w:link w:val="2"/>
    <w:qFormat/>
    <w:uiPriority w:val="9"/>
    <w:rPr>
      <w:rFonts w:ascii="Calibri" w:hAnsi="Calibri" w:eastAsia="宋体" w:cs="Times New Roman"/>
      <w:b/>
      <w:bCs/>
      <w:kern w:val="44"/>
      <w:sz w:val="44"/>
      <w:szCs w:val="44"/>
    </w:rPr>
  </w:style>
  <w:style w:type="character" w:customStyle="1" w:styleId="18">
    <w:name w:val="标题 2 字符"/>
    <w:basedOn w:val="10"/>
    <w:link w:val="3"/>
    <w:qFormat/>
    <w:uiPriority w:val="9"/>
    <w:rPr>
      <w:rFonts w:asciiTheme="majorHAnsi" w:hAnsiTheme="majorHAnsi" w:eastAsiaTheme="majorEastAsia" w:cstheme="majorBidi"/>
      <w:b/>
      <w:bCs/>
      <w:sz w:val="32"/>
      <w:szCs w:val="32"/>
    </w:rPr>
  </w:style>
  <w:style w:type="character" w:customStyle="1" w:styleId="19">
    <w:name w:val="标题 3 字符"/>
    <w:basedOn w:val="10"/>
    <w:link w:val="4"/>
    <w:qFormat/>
    <w:uiPriority w:val="9"/>
    <w:rPr>
      <w:rFonts w:ascii="Calibri" w:hAnsi="Calibri" w:eastAsia="宋体" w:cs="Times New Roman"/>
      <w:b/>
      <w:bCs/>
      <w:sz w:val="32"/>
      <w:szCs w:val="32"/>
    </w:rPr>
  </w:style>
  <w:style w:type="character" w:customStyle="1" w:styleId="20">
    <w:name w:val="文档结构图 字符"/>
    <w:basedOn w:val="10"/>
    <w:link w:val="5"/>
    <w:semiHidden/>
    <w:qFormat/>
    <w:uiPriority w:val="99"/>
    <w:rPr>
      <w:rFonts w:ascii="宋体" w:hAnsi="Calibri" w:eastAsia="宋体" w:cs="Times New Roman"/>
      <w:sz w:val="18"/>
      <w:szCs w:val="18"/>
    </w:rPr>
  </w:style>
  <w:style w:type="character" w:customStyle="1" w:styleId="21">
    <w:name w:val="批注框文本 字符"/>
    <w:basedOn w:val="10"/>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4227</Words>
  <Characters>4254</Characters>
  <Lines>30</Lines>
  <Paragraphs>8</Paragraphs>
  <TotalTime>0</TotalTime>
  <ScaleCrop>false</ScaleCrop>
  <LinksUpToDate>false</LinksUpToDate>
  <CharactersWithSpaces>4357</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2020-08-15T22:02:00Z</dcterms:created>
  <dc:creator>kylin</dc:creator>
  <cp:lastModifiedBy>田茂金</cp:lastModifiedBy>
  <cp:lastPrinted>2022-05-08T12:29:00Z</cp:lastPrinted>
  <dcterms:modified xsi:type="dcterms:W3CDTF">2022-05-11T00:58:11Z</dcterms:modified>
  <dc:title>深化电力领域审批制度改革</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8785BD1BD4D94D70A4B5DA9F43AD4E4C</vt:lpwstr>
  </property>
</Properties>
</file>